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311" w:rsidRPr="00F07C50" w:rsidRDefault="002E6678" w:rsidP="006F2311">
      <w:pPr>
        <w:pBdr>
          <w:bottom w:val="single" w:sz="6" w:space="0" w:color="auto"/>
        </w:pBdr>
        <w:spacing w:line="329" w:lineRule="auto"/>
        <w:outlineLvl w:val="0"/>
        <w:rPr>
          <w:rFonts w:ascii="ITC Slimbach LT CE" w:hAnsi="ITC Slimbach LT CE"/>
          <w:b/>
          <w:sz w:val="28"/>
        </w:rPr>
      </w:pPr>
      <w:r w:rsidRPr="00F07C50">
        <w:rPr>
          <w:rFonts w:ascii="ITC Slimbach LT CE" w:hAnsi="ITC Slimbach LT CE"/>
          <w:b/>
          <w:sz w:val="28"/>
        </w:rPr>
        <w:t>Références PREFA, juin 2015</w:t>
      </w:r>
    </w:p>
    <w:p w:rsidR="00EE5314" w:rsidRPr="00F07C50" w:rsidRDefault="00735DAF" w:rsidP="00EE5314">
      <w:pPr>
        <w:spacing w:after="0" w:line="312" w:lineRule="auto"/>
        <w:jc w:val="both"/>
        <w:rPr>
          <w:rFonts w:ascii="ITC Slimbach LT CE" w:hAnsi="ITC Slimbach LT CE"/>
          <w:b/>
          <w:sz w:val="36"/>
        </w:rPr>
      </w:pPr>
      <w:r w:rsidRPr="00F07C50">
        <w:rPr>
          <w:rFonts w:ascii="ITC Slimbach LT CE" w:hAnsi="ITC Slimbach LT CE"/>
          <w:b/>
          <w:sz w:val="36"/>
        </w:rPr>
        <w:t>La vie de château</w:t>
      </w:r>
    </w:p>
    <w:p w:rsidR="007F23A9" w:rsidRPr="00F07C50" w:rsidRDefault="007F23A9" w:rsidP="00EE5314">
      <w:pPr>
        <w:spacing w:after="0" w:line="312" w:lineRule="auto"/>
        <w:jc w:val="both"/>
        <w:rPr>
          <w:rFonts w:ascii="ITC Slimbach LT CE" w:hAnsi="ITC Slimbach LT CE"/>
          <w:b/>
          <w:sz w:val="24"/>
        </w:rPr>
      </w:pPr>
      <w:r w:rsidRPr="00F07C50">
        <w:rPr>
          <w:rFonts w:ascii="ITC Slimbach LT CE" w:hAnsi="ITC Slimbach LT CE"/>
          <w:b/>
          <w:sz w:val="24"/>
        </w:rPr>
        <w:t xml:space="preserve"> </w:t>
      </w:r>
    </w:p>
    <w:p w:rsidR="00735DAF" w:rsidRPr="00F07C50" w:rsidRDefault="00735DAF" w:rsidP="003F0666">
      <w:pPr>
        <w:spacing w:after="0" w:line="312" w:lineRule="auto"/>
        <w:jc w:val="both"/>
        <w:rPr>
          <w:rFonts w:ascii="ITC Slimbach LT CE" w:hAnsi="ITC Slimbach LT CE"/>
          <w:b/>
          <w:sz w:val="24"/>
        </w:rPr>
      </w:pPr>
      <w:r w:rsidRPr="00F07C50">
        <w:rPr>
          <w:rFonts w:ascii="ITC Slimbach LT CE" w:hAnsi="ITC Slimbach LT CE"/>
          <w:b/>
          <w:sz w:val="24"/>
        </w:rPr>
        <w:t>À Lipnice nad Sázavou (République tchèque), à la frontière entre Moravie et Bohème, ruines médiévales et châteaux forts modernes se côtoient, plantés dans de grandioses paysages. Ils sont la preuve que la magnificence de l'Histoire peut être en harmonie avec l'architecture contemporaine.</w:t>
      </w:r>
      <w:bookmarkStart w:id="0" w:name="_GoBack"/>
      <w:bookmarkEnd w:id="0"/>
    </w:p>
    <w:p w:rsidR="00735DAF" w:rsidRPr="00F07C50" w:rsidRDefault="00735DAF" w:rsidP="003F0666">
      <w:pPr>
        <w:spacing w:after="0" w:line="312" w:lineRule="auto"/>
        <w:jc w:val="both"/>
        <w:rPr>
          <w:rFonts w:ascii="ITC Slimbach LT CE" w:hAnsi="ITC Slimbach LT CE"/>
          <w:b/>
          <w:sz w:val="24"/>
        </w:rPr>
      </w:pPr>
    </w:p>
    <w:p w:rsidR="009E6E6A" w:rsidRPr="00F07C50" w:rsidRDefault="00735DAF" w:rsidP="003F0666">
      <w:pPr>
        <w:spacing w:after="0" w:line="312" w:lineRule="auto"/>
        <w:jc w:val="both"/>
        <w:rPr>
          <w:rFonts w:ascii="ITC Slimbach LT CE" w:hAnsi="ITC Slimbach LT CE"/>
          <w:b/>
          <w:sz w:val="24"/>
        </w:rPr>
      </w:pPr>
      <w:r w:rsidRPr="00F07C50">
        <w:rPr>
          <w:rFonts w:ascii="ITC Slimbach LT CE" w:hAnsi="ITC Slimbach LT CE"/>
          <w:b/>
          <w:sz w:val="24"/>
        </w:rPr>
        <w:t xml:space="preserve">La demeure créée par l'architecte František Čekal et le chef de projet Ivan Dolejš à partir d'une petite maison individuelle associe tradition, architecture régionale et magie futuriste des transformations. Le bâtiment forme, au pied de l'immense château fort typique, un contrepoint moderne, attrayant et harmonieux à la fois face à l'architecture fortifiée du 14e siècle. </w:t>
      </w:r>
      <w:r w:rsidR="001413D8" w:rsidRPr="00F07C50">
        <w:rPr>
          <w:rFonts w:ascii="ITC Slimbach LT CE" w:hAnsi="ITC Slimbach LT CE"/>
          <w:b/>
          <w:sz w:val="24"/>
        </w:rPr>
        <w:t xml:space="preserve">L’habillage </w:t>
      </w:r>
      <w:r w:rsidRPr="00F07C50">
        <w:rPr>
          <w:rFonts w:ascii="ITC Slimbach LT CE" w:hAnsi="ITC Slimbach LT CE"/>
          <w:b/>
          <w:sz w:val="24"/>
        </w:rPr>
        <w:t xml:space="preserve">architectural spectaculaire </w:t>
      </w:r>
      <w:r w:rsidR="001413D8" w:rsidRPr="00F07C50">
        <w:rPr>
          <w:rFonts w:ascii="ITC Slimbach LT CE" w:hAnsi="ITC Slimbach LT CE"/>
          <w:b/>
          <w:sz w:val="24"/>
        </w:rPr>
        <w:t xml:space="preserve">aux allures d’amure de chevalier </w:t>
      </w:r>
      <w:r w:rsidRPr="00F07C50">
        <w:rPr>
          <w:rFonts w:ascii="ITC Slimbach LT CE" w:hAnsi="ITC Slimbach LT CE"/>
          <w:b/>
          <w:sz w:val="24"/>
        </w:rPr>
        <w:t xml:space="preserve">réalisé avec les panneaux FX.12 pour toiture et façade </w:t>
      </w:r>
      <w:r w:rsidR="001413D8" w:rsidRPr="00F07C50">
        <w:rPr>
          <w:rFonts w:ascii="ITC Slimbach LT CE" w:hAnsi="ITC Slimbach LT CE"/>
          <w:b/>
          <w:sz w:val="24"/>
        </w:rPr>
        <w:t>permet</w:t>
      </w:r>
      <w:r w:rsidRPr="00F07C50">
        <w:rPr>
          <w:rFonts w:ascii="ITC Slimbach LT CE" w:hAnsi="ITC Slimbach LT CE"/>
          <w:b/>
          <w:sz w:val="24"/>
        </w:rPr>
        <w:t xml:space="preserve"> le lien entre les temps anciens et l'aspect moderne du nouveau bâtiment.</w:t>
      </w:r>
    </w:p>
    <w:p w:rsidR="000E3B6D" w:rsidRPr="00F07C50" w:rsidRDefault="000E3B6D" w:rsidP="003F0666">
      <w:pPr>
        <w:spacing w:after="0" w:line="312" w:lineRule="auto"/>
        <w:jc w:val="both"/>
        <w:rPr>
          <w:rFonts w:ascii="ITC Slimbach LT CE" w:hAnsi="ITC Slimbach LT CE"/>
          <w:b/>
          <w:sz w:val="24"/>
        </w:rPr>
      </w:pPr>
    </w:p>
    <w:p w:rsidR="00223D04" w:rsidRPr="00F07C50" w:rsidRDefault="006B01A8" w:rsidP="00223D04">
      <w:pPr>
        <w:spacing w:after="0" w:line="312" w:lineRule="auto"/>
        <w:jc w:val="both"/>
        <w:rPr>
          <w:rFonts w:ascii="ITC Slimbach LT CE" w:hAnsi="ITC Slimbach LT CE"/>
          <w:sz w:val="24"/>
        </w:rPr>
      </w:pPr>
      <w:r w:rsidRPr="00F07C50">
        <w:rPr>
          <w:rFonts w:ascii="ITC Slimbach LT CE" w:hAnsi="ITC Slimbach LT CE"/>
          <w:sz w:val="24"/>
        </w:rPr>
        <w:t xml:space="preserve">Marktl, juin 2015. Le petit site touristique de Lipnice, dans les collines de Bohème-Moravie, compte à peine 700 habitants à l'année. Pendant la période des congés, ce village invitant à la contemplation, au pied du château fort médiéval en ruines, vivant de l'agriculture et de la pêche, devient le lieu de résidence secondaire et d'excursion préféré de nombreux Tchèques. Les citadins y possèdent souvent des résidences secondaires, transmises de génération en génération. C'est une datcha de ce type </w:t>
      </w:r>
      <w:r w:rsidR="001413D8" w:rsidRPr="00F07C50">
        <w:rPr>
          <w:rFonts w:ascii="ITC Slimbach LT CE" w:hAnsi="ITC Slimbach LT CE"/>
          <w:sz w:val="24"/>
        </w:rPr>
        <w:t>dont l'architecte František Čekal</w:t>
      </w:r>
      <w:r w:rsidR="001413D8" w:rsidRPr="00F07C50">
        <w:rPr>
          <w:rFonts w:ascii="ITC Slimbach LT CE" w:hAnsi="ITC Slimbach LT CE"/>
          <w:b/>
          <w:sz w:val="24"/>
        </w:rPr>
        <w:t xml:space="preserve"> </w:t>
      </w:r>
      <w:r w:rsidRPr="00F07C50">
        <w:rPr>
          <w:rFonts w:ascii="ITC Slimbach LT CE" w:hAnsi="ITC Slimbach LT CE"/>
          <w:sz w:val="24"/>
        </w:rPr>
        <w:t xml:space="preserve">a fait un bâtiment incontournable, en y ajoutant une annexe futuriste offrant un contraste saisissant entre ancien et nouveau se fondant parfaitement dans le paysage environnant tout en attirant à elle les visiteurs, de par sa personnalité unique enrichissant les alentours. En effet, le bloc de couleur anthracite, avec sa nouvelle façade comportant une immense baie vitrée, s'intègre au paysage en toute harmonie. </w:t>
      </w:r>
      <w:r w:rsidR="001413D8" w:rsidRPr="00F07C50">
        <w:rPr>
          <w:rFonts w:ascii="ITC Slimbach LT CE" w:hAnsi="ITC Slimbach LT CE"/>
          <w:sz w:val="24"/>
        </w:rPr>
        <w:t>« </w:t>
      </w:r>
      <w:r w:rsidRPr="00F07C50">
        <w:rPr>
          <w:rFonts w:ascii="ITC Slimbach LT CE" w:hAnsi="ITC Slimbach LT CE"/>
          <w:sz w:val="24"/>
        </w:rPr>
        <w:t xml:space="preserve">Il est </w:t>
      </w:r>
      <w:r w:rsidR="001413D8" w:rsidRPr="00F07C50">
        <w:rPr>
          <w:rFonts w:ascii="ITC Slimbach LT CE" w:hAnsi="ITC Slimbach LT CE"/>
          <w:sz w:val="24"/>
        </w:rPr>
        <w:t>mis en avant tout en s'effaçant »</w:t>
      </w:r>
      <w:r w:rsidRPr="00F07C50">
        <w:rPr>
          <w:rFonts w:ascii="ITC Slimbach LT CE" w:hAnsi="ITC Slimbach LT CE"/>
          <w:sz w:val="24"/>
        </w:rPr>
        <w:t>, explique Ivan Dolejš.</w:t>
      </w:r>
    </w:p>
    <w:p w:rsidR="00EA5F92" w:rsidRPr="00F07C50" w:rsidRDefault="00EA5F92" w:rsidP="00223D04">
      <w:pPr>
        <w:spacing w:after="0" w:line="312" w:lineRule="auto"/>
        <w:jc w:val="both"/>
        <w:rPr>
          <w:rFonts w:ascii="ITC Slimbach LT CE" w:hAnsi="ITC Slimbach LT CE"/>
          <w:sz w:val="24"/>
        </w:rPr>
      </w:pPr>
    </w:p>
    <w:p w:rsidR="00EA5F92" w:rsidRPr="00F07C50" w:rsidRDefault="00EA5F92" w:rsidP="00EA5F92">
      <w:pPr>
        <w:spacing w:after="0" w:line="312" w:lineRule="auto"/>
        <w:jc w:val="both"/>
        <w:rPr>
          <w:rFonts w:ascii="ITC Slimbach LT CE" w:hAnsi="ITC Slimbach LT CE"/>
          <w:b/>
          <w:sz w:val="24"/>
        </w:rPr>
      </w:pPr>
      <w:r w:rsidRPr="00F07C50">
        <w:rPr>
          <w:rFonts w:ascii="ITC Slimbach LT CE" w:hAnsi="ITC Slimbach LT CE"/>
          <w:b/>
          <w:sz w:val="24"/>
        </w:rPr>
        <w:t>La datcha : un refuge de verdure pour se ressourcer le corps et l'âme le temps du week-end</w:t>
      </w:r>
    </w:p>
    <w:p w:rsidR="00EA5F92" w:rsidRPr="00F07C50" w:rsidRDefault="00EA5F92" w:rsidP="00EA5F92">
      <w:pPr>
        <w:spacing w:after="0" w:line="312" w:lineRule="auto"/>
        <w:jc w:val="both"/>
        <w:rPr>
          <w:rFonts w:ascii="ITC Slimbach LT CE" w:hAnsi="ITC Slimbach LT CE"/>
          <w:sz w:val="24"/>
        </w:rPr>
      </w:pPr>
      <w:r w:rsidRPr="00F07C50">
        <w:rPr>
          <w:rFonts w:ascii="ITC Slimbach LT CE" w:hAnsi="ITC Slimbach LT CE"/>
          <w:sz w:val="24"/>
        </w:rPr>
        <w:lastRenderedPageBreak/>
        <w:t>L'esthétique visuelle ne sert pas uniquement à fuir la ville, mais permet aussi un reto</w:t>
      </w:r>
      <w:r w:rsidR="001413D8" w:rsidRPr="00F07C50">
        <w:rPr>
          <w:rFonts w:ascii="ITC Slimbach LT CE" w:hAnsi="ITC Slimbach LT CE"/>
          <w:sz w:val="24"/>
        </w:rPr>
        <w:t>ur à la terre. Ainsi, l'ancien « </w:t>
      </w:r>
      <w:r w:rsidRPr="00F07C50">
        <w:rPr>
          <w:rFonts w:ascii="ITC Slimbach LT CE" w:hAnsi="ITC Slimbach LT CE"/>
          <w:sz w:val="24"/>
        </w:rPr>
        <w:t xml:space="preserve">don </w:t>
      </w:r>
      <w:r w:rsidR="001413D8" w:rsidRPr="00F07C50">
        <w:rPr>
          <w:rFonts w:ascii="ITC Slimbach LT CE" w:hAnsi="ITC Slimbach LT CE"/>
          <w:sz w:val="24"/>
        </w:rPr>
        <w:t>du tsar »</w:t>
      </w:r>
      <w:r w:rsidRPr="00F07C50">
        <w:rPr>
          <w:rFonts w:ascii="ITC Slimbach LT CE" w:hAnsi="ITC Slimbach LT CE"/>
          <w:sz w:val="24"/>
        </w:rPr>
        <w:t xml:space="preserve"> est aujourd'hui devenu un refuge où se reposer et un lieu familier de retrouvailles </w:t>
      </w:r>
      <w:r w:rsidR="001413D8" w:rsidRPr="00F07C50">
        <w:rPr>
          <w:rFonts w:ascii="ITC Slimbach LT CE" w:hAnsi="ITC Slimbach LT CE"/>
          <w:sz w:val="24"/>
        </w:rPr>
        <w:t>entre</w:t>
      </w:r>
      <w:r w:rsidRPr="00F07C50">
        <w:rPr>
          <w:rFonts w:ascii="ITC Slimbach LT CE" w:hAnsi="ITC Slimbach LT CE"/>
          <w:sz w:val="24"/>
        </w:rPr>
        <w:t xml:space="preserve"> générations, </w:t>
      </w:r>
      <w:r w:rsidR="001413D8" w:rsidRPr="00F07C50">
        <w:rPr>
          <w:rFonts w:ascii="ITC Slimbach LT CE" w:hAnsi="ITC Slimbach LT CE"/>
          <w:sz w:val="24"/>
        </w:rPr>
        <w:t>un lieu où</w:t>
      </w:r>
      <w:r w:rsidRPr="00F07C50">
        <w:rPr>
          <w:rFonts w:ascii="ITC Slimbach LT CE" w:hAnsi="ITC Slimbach LT CE"/>
          <w:sz w:val="24"/>
        </w:rPr>
        <w:t xml:space="preserve"> prendre le temps, communiquer, jardiner ou tout simplement être ensemble. Pour Ivan Dolejš, </w:t>
      </w:r>
      <w:r w:rsidR="001413D8" w:rsidRPr="00F07C50">
        <w:rPr>
          <w:rFonts w:ascii="ITC Slimbach LT CE" w:hAnsi="ITC Slimbach LT CE"/>
          <w:sz w:val="24"/>
        </w:rPr>
        <w:t>« la</w:t>
      </w:r>
      <w:r w:rsidRPr="00F07C50">
        <w:rPr>
          <w:rFonts w:ascii="ITC Slimbach LT CE" w:hAnsi="ITC Slimbach LT CE"/>
          <w:sz w:val="24"/>
        </w:rPr>
        <w:t xml:space="preserve"> construction de cette annexe permettait surtout de créer plus d'espace pour le nombre croissant des membres de la famille. En effet, la cohésion au sein de la famille rev</w:t>
      </w:r>
      <w:r w:rsidR="001413D8" w:rsidRPr="00F07C50">
        <w:rPr>
          <w:rFonts w:ascii="ITC Slimbach LT CE" w:hAnsi="ITC Slimbach LT CE"/>
          <w:sz w:val="24"/>
        </w:rPr>
        <w:t xml:space="preserve">êt </w:t>
      </w:r>
      <w:r w:rsidRPr="00F07C50">
        <w:rPr>
          <w:rFonts w:ascii="ITC Slimbach LT CE" w:hAnsi="ITC Slimbach LT CE"/>
          <w:sz w:val="24"/>
        </w:rPr>
        <w:t>une importance toute particulière</w:t>
      </w:r>
      <w:r w:rsidR="001413D8" w:rsidRPr="00F07C50">
        <w:rPr>
          <w:rFonts w:ascii="ITC Slimbach LT CE" w:hAnsi="ITC Slimbach LT CE"/>
          <w:sz w:val="24"/>
        </w:rPr>
        <w:t xml:space="preserve"> en République tchèque</w:t>
      </w:r>
      <w:r w:rsidRPr="00F07C50">
        <w:rPr>
          <w:rFonts w:ascii="ITC Slimbach LT CE" w:hAnsi="ITC Slimbach LT CE"/>
          <w:sz w:val="24"/>
        </w:rPr>
        <w:t xml:space="preserve"> tout comme les différentes exigences </w:t>
      </w:r>
      <w:r w:rsidR="001413D8" w:rsidRPr="00F07C50">
        <w:rPr>
          <w:rFonts w:ascii="ITC Slimbach LT CE" w:hAnsi="ITC Slimbach LT CE"/>
          <w:sz w:val="24"/>
        </w:rPr>
        <w:t>et perspectives selon les âges. »</w:t>
      </w:r>
    </w:p>
    <w:p w:rsidR="00EA5F92" w:rsidRPr="00F07C50" w:rsidRDefault="00EA5F92" w:rsidP="00EA5F92">
      <w:pPr>
        <w:spacing w:after="0" w:line="312" w:lineRule="auto"/>
        <w:jc w:val="both"/>
        <w:rPr>
          <w:rFonts w:ascii="ITC Slimbach LT CE" w:hAnsi="ITC Slimbach LT CE"/>
          <w:sz w:val="24"/>
        </w:rPr>
      </w:pPr>
    </w:p>
    <w:p w:rsidR="00EA5F92" w:rsidRPr="00F07C50" w:rsidRDefault="00EA5F92" w:rsidP="00EA5F92">
      <w:pPr>
        <w:spacing w:after="0" w:line="312" w:lineRule="auto"/>
        <w:jc w:val="both"/>
        <w:rPr>
          <w:rFonts w:ascii="ITC Slimbach LT CE" w:hAnsi="ITC Slimbach LT CE"/>
          <w:sz w:val="24"/>
        </w:rPr>
      </w:pPr>
      <w:r w:rsidRPr="00F07C50">
        <w:rPr>
          <w:rFonts w:ascii="ITC Slimbach LT CE" w:hAnsi="ITC Slimbach LT CE"/>
          <w:sz w:val="24"/>
        </w:rPr>
        <w:t xml:space="preserve">La vue depuis la maison est aussi belle que celle </w:t>
      </w:r>
      <w:r w:rsidR="001413D8" w:rsidRPr="00F07C50">
        <w:rPr>
          <w:rFonts w:ascii="ITC Slimbach LT CE" w:hAnsi="ITC Slimbach LT CE"/>
          <w:sz w:val="24"/>
        </w:rPr>
        <w:t>offerte par</w:t>
      </w:r>
      <w:r w:rsidRPr="00F07C50">
        <w:rPr>
          <w:rFonts w:ascii="ITC Slimbach LT CE" w:hAnsi="ITC Slimbach LT CE"/>
          <w:sz w:val="24"/>
        </w:rPr>
        <w:t xml:space="preserve"> la maison :</w:t>
      </w:r>
      <w:r w:rsidR="001413D8" w:rsidRPr="00F07C50">
        <w:rPr>
          <w:rFonts w:ascii="ITC Slimbach LT CE" w:hAnsi="ITC Slimbach LT CE"/>
          <w:sz w:val="24"/>
        </w:rPr>
        <w:t xml:space="preserve"> </w:t>
      </w:r>
      <w:r w:rsidRPr="00F07C50">
        <w:rPr>
          <w:rFonts w:ascii="ITC Slimbach LT CE" w:hAnsi="ITC Slimbach LT CE"/>
          <w:sz w:val="24"/>
        </w:rPr>
        <w:t xml:space="preserve">l'immense baie vitrée offre un panorama sur le haut plateau, laissant le paysage </w:t>
      </w:r>
      <w:r w:rsidR="001413D8" w:rsidRPr="00F07C50">
        <w:rPr>
          <w:rFonts w:ascii="ITC Slimbach LT CE" w:hAnsi="ITC Slimbach LT CE"/>
          <w:sz w:val="24"/>
        </w:rPr>
        <w:t>imprégner</w:t>
      </w:r>
      <w:r w:rsidRPr="00F07C50">
        <w:rPr>
          <w:rFonts w:ascii="ITC Slimbach LT CE" w:hAnsi="ITC Slimbach LT CE"/>
          <w:sz w:val="24"/>
        </w:rPr>
        <w:t xml:space="preserve"> les espaces de vie.</w:t>
      </w:r>
    </w:p>
    <w:p w:rsidR="00277652" w:rsidRPr="00F07C50" w:rsidRDefault="0001440A" w:rsidP="000E3B6D">
      <w:pPr>
        <w:spacing w:after="0" w:line="312" w:lineRule="auto"/>
        <w:jc w:val="both"/>
        <w:rPr>
          <w:rFonts w:ascii="ITC Slimbach LT CE" w:hAnsi="ITC Slimbach LT CE"/>
          <w:sz w:val="24"/>
        </w:rPr>
      </w:pPr>
      <w:r w:rsidRPr="00F07C50">
        <w:rPr>
          <w:rFonts w:ascii="ITC Slimbach LT CE" w:hAnsi="ITC Slimbach LT CE"/>
          <w:sz w:val="24"/>
        </w:rPr>
        <w:t xml:space="preserve">  </w:t>
      </w:r>
    </w:p>
    <w:p w:rsidR="0001440A" w:rsidRPr="00F07C50" w:rsidRDefault="00DC51B5" w:rsidP="0001440A">
      <w:pPr>
        <w:spacing w:after="0" w:line="312" w:lineRule="auto"/>
        <w:jc w:val="both"/>
        <w:rPr>
          <w:rFonts w:ascii="ITC Slimbach LT CE" w:hAnsi="ITC Slimbach LT CE"/>
          <w:b/>
          <w:sz w:val="24"/>
        </w:rPr>
      </w:pPr>
      <w:r w:rsidRPr="00F07C50">
        <w:rPr>
          <w:rFonts w:ascii="ITC Slimbach LT CE" w:hAnsi="ITC Slimbach LT CE"/>
          <w:b/>
          <w:sz w:val="24"/>
        </w:rPr>
        <w:t>Une fortification solide</w:t>
      </w:r>
    </w:p>
    <w:p w:rsidR="00223D04" w:rsidRPr="00F07C50" w:rsidRDefault="00223D04" w:rsidP="0001440A">
      <w:pPr>
        <w:spacing w:after="0" w:line="312" w:lineRule="auto"/>
        <w:jc w:val="both"/>
        <w:rPr>
          <w:rFonts w:ascii="ITC Slimbach LT CE" w:hAnsi="ITC Slimbach LT CE"/>
          <w:sz w:val="24"/>
        </w:rPr>
      </w:pPr>
      <w:r w:rsidRPr="00F07C50">
        <w:rPr>
          <w:rFonts w:ascii="ITC Slimbach LT CE" w:hAnsi="ITC Slimbach LT CE"/>
          <w:sz w:val="24"/>
        </w:rPr>
        <w:t>Les fondations et le plafond de l'annexe, en béton armé, assurent une base pérenne : une construction verticale d'un seul bloc céramique. La couverture et la façade, en panneaux FX.12 PREFA pour toiture et façade, couleur anthracite, garantissent le l</w:t>
      </w:r>
      <w:r w:rsidR="001413D8" w:rsidRPr="00F07C50">
        <w:rPr>
          <w:rFonts w:ascii="ITC Slimbach LT CE" w:hAnsi="ITC Slimbach LT CE"/>
          <w:sz w:val="24"/>
        </w:rPr>
        <w:t>ook spectaculaire du bâtiment. « </w:t>
      </w:r>
      <w:r w:rsidRPr="00F07C50">
        <w:rPr>
          <w:rFonts w:ascii="ITC Slimbach LT CE" w:hAnsi="ITC Slimbach LT CE"/>
          <w:sz w:val="24"/>
        </w:rPr>
        <w:t xml:space="preserve">Moderne, durable et facile à entretenir. Avec un facteur bien-être. Telles étaient </w:t>
      </w:r>
      <w:r w:rsidR="001413D8" w:rsidRPr="00F07C50">
        <w:rPr>
          <w:rFonts w:ascii="ITC Slimbach LT CE" w:hAnsi="ITC Slimbach LT CE"/>
          <w:sz w:val="24"/>
        </w:rPr>
        <w:t>les exigences des propriétaires » </w:t>
      </w:r>
      <w:r w:rsidRPr="00F07C50">
        <w:rPr>
          <w:rFonts w:ascii="ITC Slimbach LT CE" w:hAnsi="ITC Slimbach LT CE"/>
          <w:sz w:val="24"/>
        </w:rPr>
        <w:t xml:space="preserve">: voilà comment le chef de projet Ivan Dolejš explique le choix de </w:t>
      </w:r>
      <w:r w:rsidR="001413D8" w:rsidRPr="00F07C50">
        <w:rPr>
          <w:rFonts w:ascii="ITC Slimbach LT CE" w:hAnsi="ITC Slimbach LT CE"/>
          <w:sz w:val="24"/>
        </w:rPr>
        <w:t>« l’armure de chevalier »</w:t>
      </w:r>
      <w:r w:rsidRPr="00F07C50">
        <w:rPr>
          <w:rFonts w:ascii="ITC Slimbach LT CE" w:hAnsi="ITC Slimbach LT CE"/>
          <w:sz w:val="24"/>
        </w:rPr>
        <w:t xml:space="preserve"> PREFA pour l'enveloppe de l'annexe.</w:t>
      </w:r>
    </w:p>
    <w:p w:rsidR="00223D04" w:rsidRPr="00F07C50" w:rsidRDefault="00223D04" w:rsidP="0001440A">
      <w:pPr>
        <w:spacing w:after="0" w:line="312" w:lineRule="auto"/>
        <w:jc w:val="both"/>
        <w:rPr>
          <w:rFonts w:ascii="ITC Slimbach LT CE" w:hAnsi="ITC Slimbach LT CE"/>
          <w:sz w:val="24"/>
        </w:rPr>
      </w:pPr>
    </w:p>
    <w:p w:rsidR="0001440A" w:rsidRPr="00F07C50" w:rsidRDefault="0001440A" w:rsidP="0001440A">
      <w:pPr>
        <w:spacing w:after="0" w:line="312" w:lineRule="auto"/>
        <w:jc w:val="both"/>
        <w:rPr>
          <w:rFonts w:ascii="ITC Slimbach LT CE" w:hAnsi="ITC Slimbach LT CE"/>
          <w:sz w:val="24"/>
        </w:rPr>
      </w:pPr>
      <w:r w:rsidRPr="00F07C50">
        <w:rPr>
          <w:rFonts w:ascii="ITC Slimbach LT CE" w:hAnsi="ITC Slimbach LT CE"/>
          <w:sz w:val="24"/>
        </w:rPr>
        <w:t>Le choix des panneaux FX.12 PREFA s'est fait en collaboration avec l'architecte František Čekal - pour de nombreuses raisons, ce maté</w:t>
      </w:r>
      <w:r w:rsidR="001413D8" w:rsidRPr="00F07C50">
        <w:rPr>
          <w:rFonts w:ascii="ITC Slimbach LT CE" w:hAnsi="ITC Slimbach LT CE"/>
          <w:sz w:val="24"/>
        </w:rPr>
        <w:t>riau était de loin le favori : « </w:t>
      </w:r>
      <w:r w:rsidRPr="00F07C50">
        <w:rPr>
          <w:rFonts w:ascii="ITC Slimbach LT CE" w:hAnsi="ITC Slimbach LT CE"/>
          <w:sz w:val="24"/>
        </w:rPr>
        <w:t>il a une esthétique visuelle inhabituelle et attrayante. C'est ce qui nous a séduit. Sans compter que nous avions déjà testé les panneaux FX.12 et en</w:t>
      </w:r>
      <w:r w:rsidR="001413D8" w:rsidRPr="00F07C50">
        <w:rPr>
          <w:rFonts w:ascii="ITC Slimbach LT CE" w:hAnsi="ITC Slimbach LT CE"/>
          <w:sz w:val="24"/>
        </w:rPr>
        <w:t xml:space="preserve"> étions entièrement satisfaits. »</w:t>
      </w:r>
    </w:p>
    <w:p w:rsidR="00223D04" w:rsidRPr="00F07C50" w:rsidRDefault="00223D04" w:rsidP="0001440A">
      <w:pPr>
        <w:spacing w:after="0" w:line="312" w:lineRule="auto"/>
        <w:jc w:val="both"/>
        <w:rPr>
          <w:rFonts w:ascii="ITC Slimbach LT CE" w:hAnsi="ITC Slimbach LT CE"/>
          <w:sz w:val="24"/>
        </w:rPr>
      </w:pPr>
    </w:p>
    <w:p w:rsidR="0001440A" w:rsidRPr="00F07C50" w:rsidRDefault="0081447F" w:rsidP="0001440A">
      <w:pPr>
        <w:spacing w:after="0" w:line="312" w:lineRule="auto"/>
        <w:jc w:val="both"/>
        <w:rPr>
          <w:rFonts w:ascii="ITC Slimbach LT CE" w:hAnsi="ITC Slimbach LT CE"/>
          <w:b/>
          <w:sz w:val="24"/>
        </w:rPr>
      </w:pPr>
      <w:r w:rsidRPr="00F07C50">
        <w:rPr>
          <w:rFonts w:ascii="ITC Slimbach LT CE" w:hAnsi="ITC Slimbach LT CE"/>
          <w:b/>
          <w:sz w:val="24"/>
        </w:rPr>
        <w:t>FX.12 : une apparence hétérogène pour un design futuriste</w:t>
      </w:r>
    </w:p>
    <w:p w:rsidR="0001440A" w:rsidRPr="00F07C50" w:rsidRDefault="0001440A" w:rsidP="0001440A">
      <w:pPr>
        <w:spacing w:after="0" w:line="312" w:lineRule="auto"/>
        <w:jc w:val="both"/>
        <w:rPr>
          <w:rFonts w:ascii="ITC Slimbach LT CE" w:hAnsi="ITC Slimbach LT CE"/>
          <w:sz w:val="24"/>
        </w:rPr>
      </w:pPr>
      <w:r w:rsidRPr="00F07C50">
        <w:rPr>
          <w:rFonts w:ascii="ITC Slimbach LT CE" w:hAnsi="ITC Slimbach LT CE"/>
          <w:sz w:val="24"/>
        </w:rPr>
        <w:t xml:space="preserve">Les multiples facettes des panneaux FX.12 pour toiture et façade viennent souligner cet effet. Ses plis en long et en large et sa surface hétérogène permettent une apparence design futuriste. La façade très segmentée de l'ensemble du bâtiment a toutefois constitué un défi de taille pour l'artisan - défi qu'il a su relever avec de l'imagination et des panneaux FX.12. Le point de départ de l'enveloppe était la base </w:t>
      </w:r>
      <w:r w:rsidRPr="00F07C50">
        <w:rPr>
          <w:rFonts w:ascii="ITC Slimbach LT CE" w:hAnsi="ITC Slimbach LT CE"/>
          <w:sz w:val="24"/>
        </w:rPr>
        <w:lastRenderedPageBreak/>
        <w:t>de l'angle le plus bas de la façade. Les spécialistes ont habillé le bâtiment en partant de ce point pour remonter jusqu'au faîtage. La couverture du toit a constitué la dernière étape.</w:t>
      </w:r>
    </w:p>
    <w:p w:rsidR="00761E56" w:rsidRPr="00F07C50" w:rsidRDefault="00761E56" w:rsidP="0001440A">
      <w:pPr>
        <w:spacing w:after="0" w:line="312" w:lineRule="auto"/>
        <w:jc w:val="both"/>
        <w:rPr>
          <w:rFonts w:ascii="ITC Slimbach LT CE" w:hAnsi="ITC Slimbach LT CE"/>
          <w:sz w:val="24"/>
        </w:rPr>
      </w:pPr>
    </w:p>
    <w:p w:rsidR="0001440A" w:rsidRPr="00F07C50" w:rsidRDefault="0001440A" w:rsidP="0001440A">
      <w:pPr>
        <w:spacing w:after="0" w:line="312" w:lineRule="auto"/>
        <w:jc w:val="both"/>
        <w:rPr>
          <w:rFonts w:ascii="ITC Slimbach LT CE" w:hAnsi="ITC Slimbach LT CE"/>
          <w:sz w:val="24"/>
        </w:rPr>
      </w:pPr>
    </w:p>
    <w:p w:rsidR="00DC51B5" w:rsidRPr="00F07C50" w:rsidRDefault="00DC51B5" w:rsidP="0001440A">
      <w:pPr>
        <w:spacing w:after="0" w:line="312" w:lineRule="auto"/>
        <w:jc w:val="both"/>
        <w:rPr>
          <w:rFonts w:ascii="ITC Slimbach LT CE" w:hAnsi="ITC Slimbach LT CE"/>
          <w:b/>
          <w:sz w:val="24"/>
        </w:rPr>
      </w:pPr>
    </w:p>
    <w:p w:rsidR="0001440A" w:rsidRPr="00F07C50" w:rsidRDefault="0001440A" w:rsidP="0001440A">
      <w:pPr>
        <w:spacing w:after="0" w:line="312" w:lineRule="auto"/>
        <w:jc w:val="both"/>
        <w:rPr>
          <w:rFonts w:ascii="ITC Slimbach LT CE" w:hAnsi="ITC Slimbach LT CE"/>
          <w:b/>
          <w:sz w:val="24"/>
        </w:rPr>
      </w:pPr>
      <w:r w:rsidRPr="00F07C50">
        <w:rPr>
          <w:rFonts w:ascii="ITC Slimbach LT CE" w:hAnsi="ITC Slimbach LT CE"/>
          <w:b/>
          <w:sz w:val="24"/>
        </w:rPr>
        <w:t>PREFA pour PERFECTION</w:t>
      </w:r>
    </w:p>
    <w:p w:rsidR="0001440A" w:rsidRPr="00F07C50" w:rsidRDefault="0001440A" w:rsidP="0001440A">
      <w:pPr>
        <w:spacing w:after="0" w:line="312" w:lineRule="auto"/>
        <w:jc w:val="both"/>
        <w:rPr>
          <w:rFonts w:ascii="ITC Slimbach LT CE" w:hAnsi="ITC Slimbach LT CE"/>
          <w:sz w:val="24"/>
        </w:rPr>
      </w:pPr>
      <w:r w:rsidRPr="00F07C50">
        <w:rPr>
          <w:rFonts w:ascii="ITC Slimbach LT CE" w:hAnsi="ITC Slimbach LT CE"/>
          <w:sz w:val="24"/>
        </w:rPr>
        <w:t>L'équipe de construction se devait aussi de tenir compte du fait que le bâtiment à construire se trouvait dans un lieu des</w:t>
      </w:r>
      <w:r w:rsidR="001413D8" w:rsidRPr="00F07C50">
        <w:rPr>
          <w:rFonts w:ascii="ITC Slimbach LT CE" w:hAnsi="ITC Slimbach LT CE"/>
          <w:sz w:val="24"/>
        </w:rPr>
        <w:t>tiné au repos et aux vacances. « </w:t>
      </w:r>
      <w:r w:rsidRPr="00F07C50">
        <w:rPr>
          <w:rFonts w:ascii="ITC Slimbach LT CE" w:hAnsi="ITC Slimbach LT CE"/>
          <w:sz w:val="24"/>
        </w:rPr>
        <w:t>Nous avons dû être particulièrement prévenants à l'égard du voisinage et réduire au minimum le dérange</w:t>
      </w:r>
      <w:r w:rsidR="001413D8" w:rsidRPr="00F07C50">
        <w:rPr>
          <w:rFonts w:ascii="ITC Slimbach LT CE" w:hAnsi="ITC Slimbach LT CE"/>
          <w:sz w:val="24"/>
        </w:rPr>
        <w:t>ment »</w:t>
      </w:r>
      <w:r w:rsidRPr="00F07C50">
        <w:rPr>
          <w:rFonts w:ascii="ITC Slimbach LT CE" w:hAnsi="ITC Slimbach LT CE"/>
          <w:sz w:val="24"/>
        </w:rPr>
        <w:t xml:space="preserve">, déclare Ivan Dolejš. Le terrain </w:t>
      </w:r>
      <w:r w:rsidR="001413D8" w:rsidRPr="00F07C50">
        <w:rPr>
          <w:rFonts w:ascii="ITC Slimbach LT CE" w:hAnsi="ITC Slimbach LT CE"/>
          <w:sz w:val="24"/>
        </w:rPr>
        <w:t>en pente</w:t>
      </w:r>
      <w:r w:rsidRPr="00F07C50">
        <w:rPr>
          <w:rFonts w:ascii="ITC Slimbach LT CE" w:hAnsi="ITC Slimbach LT CE"/>
          <w:sz w:val="24"/>
        </w:rPr>
        <w:t xml:space="preserve"> était également un défi, demandant une attention soutenue lors</w:t>
      </w:r>
      <w:r w:rsidR="001413D8" w:rsidRPr="00F07C50">
        <w:rPr>
          <w:rFonts w:ascii="ITC Slimbach LT CE" w:hAnsi="ITC Slimbach LT CE"/>
          <w:sz w:val="24"/>
        </w:rPr>
        <w:t xml:space="preserve"> de la planification. Pour Ivan</w:t>
      </w:r>
      <w:r w:rsidRPr="00F07C50">
        <w:rPr>
          <w:rFonts w:ascii="ITC Slimbach LT CE" w:hAnsi="ITC Slimbach LT CE"/>
          <w:sz w:val="24"/>
        </w:rPr>
        <w:t xml:space="preserve"> Dolejš, la perfection est de toute façon la clé de réussite de tout proje</w:t>
      </w:r>
      <w:r w:rsidR="001413D8" w:rsidRPr="00F07C50">
        <w:rPr>
          <w:rFonts w:ascii="ITC Slimbach LT CE" w:hAnsi="ITC Slimbach LT CE"/>
          <w:sz w:val="24"/>
        </w:rPr>
        <w:t>t de construction : « </w:t>
      </w:r>
      <w:r w:rsidRPr="00F07C50">
        <w:rPr>
          <w:rFonts w:ascii="ITC Slimbach LT CE" w:hAnsi="ITC Slimbach LT CE"/>
          <w:sz w:val="24"/>
        </w:rPr>
        <w:t>tout devait être réglé comme du papier à musique</w:t>
      </w:r>
      <w:r w:rsidR="001413D8" w:rsidRPr="00F07C50">
        <w:rPr>
          <w:rFonts w:ascii="ITC Slimbach LT CE" w:hAnsi="ITC Slimbach LT CE"/>
          <w:sz w:val="24"/>
        </w:rPr>
        <w:t>, de A à Z</w:t>
      </w:r>
      <w:r w:rsidRPr="00F07C50">
        <w:rPr>
          <w:rFonts w:ascii="ITC Slimbach LT CE" w:hAnsi="ITC Slimbach LT CE"/>
          <w:sz w:val="24"/>
        </w:rPr>
        <w:t>.</w:t>
      </w:r>
      <w:r w:rsidR="001413D8" w:rsidRPr="00F07C50">
        <w:rPr>
          <w:rFonts w:ascii="ITC Slimbach LT CE" w:hAnsi="ITC Slimbach LT CE"/>
          <w:sz w:val="24"/>
        </w:rPr>
        <w:t> »</w:t>
      </w:r>
      <w:r w:rsidRPr="00F07C50">
        <w:rPr>
          <w:rFonts w:ascii="ITC Slimbach LT CE" w:hAnsi="ITC Slimbach LT CE"/>
          <w:sz w:val="24"/>
        </w:rPr>
        <w:t xml:space="preserve"> Un autre critère sur lequel PREFA et le chef de projet de la construction à Lipnice sont en phase.</w:t>
      </w:r>
    </w:p>
    <w:p w:rsidR="00F10F37" w:rsidRPr="00F07C50" w:rsidRDefault="00F10F37" w:rsidP="00F10F37">
      <w:pPr>
        <w:spacing w:after="0" w:line="312" w:lineRule="auto"/>
        <w:jc w:val="both"/>
        <w:rPr>
          <w:rFonts w:ascii="ITC Slimbach LT CE" w:hAnsi="ITC Slimbach LT CE"/>
          <w:sz w:val="24"/>
        </w:rPr>
      </w:pPr>
    </w:p>
    <w:tbl>
      <w:tblPr>
        <w:tblStyle w:val="Tabellenraster"/>
        <w:tblW w:w="0" w:type="auto"/>
        <w:tblInd w:w="108"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104"/>
      </w:tblGrid>
      <w:tr w:rsidR="00F10F37" w:rsidRPr="00F07C50" w:rsidTr="00F04E07">
        <w:tc>
          <w:tcPr>
            <w:tcW w:w="9104" w:type="dxa"/>
            <w:shd w:val="pct12" w:color="auto" w:fill="auto"/>
          </w:tcPr>
          <w:p w:rsidR="00F10F37" w:rsidRPr="00F07C50" w:rsidRDefault="00F10F37" w:rsidP="00F10F37">
            <w:pPr>
              <w:spacing w:line="312" w:lineRule="auto"/>
              <w:jc w:val="both"/>
              <w:rPr>
                <w:rFonts w:ascii="ITC Slimbach LT CE" w:hAnsi="ITC Slimbach LT CE"/>
                <w:sz w:val="24"/>
              </w:rPr>
            </w:pPr>
            <w:r w:rsidRPr="00F07C50">
              <w:rPr>
                <w:rFonts w:ascii="ITC Slimbach LT CE" w:hAnsi="ITC Slimbach LT CE"/>
                <w:b/>
                <w:sz w:val="24"/>
              </w:rPr>
              <w:t>Boîte infos Panneaux FX.12 PREFA pour toiture et façade</w:t>
            </w:r>
          </w:p>
        </w:tc>
      </w:tr>
      <w:tr w:rsidR="00F10F37" w:rsidRPr="00F07C50" w:rsidTr="00F04E07">
        <w:tc>
          <w:tcPr>
            <w:tcW w:w="9104" w:type="dxa"/>
            <w:shd w:val="pct12" w:color="auto" w:fill="auto"/>
          </w:tcPr>
          <w:p w:rsidR="00F10F37" w:rsidRPr="00F07C50" w:rsidRDefault="00F10F37" w:rsidP="00F10F37">
            <w:pPr>
              <w:spacing w:line="312" w:lineRule="auto"/>
              <w:jc w:val="both"/>
              <w:rPr>
                <w:rFonts w:ascii="ITC Slimbach LT CE" w:hAnsi="ITC Slimbach LT CE"/>
                <w:b/>
                <w:sz w:val="24"/>
              </w:rPr>
            </w:pPr>
            <w:r w:rsidRPr="00F07C50">
              <w:rPr>
                <w:rFonts w:ascii="ITC Slimbach LT CE" w:hAnsi="ITC Slimbach LT CE"/>
                <w:sz w:val="24"/>
              </w:rPr>
              <w:t>Matériau : aluminium prélaqué, 0,7 mm d'épaisseur</w:t>
            </w:r>
          </w:p>
        </w:tc>
      </w:tr>
      <w:tr w:rsidR="00F10F37" w:rsidRPr="00F07C50" w:rsidTr="00F04E07">
        <w:trPr>
          <w:trHeight w:val="180"/>
        </w:trPr>
        <w:tc>
          <w:tcPr>
            <w:tcW w:w="9104" w:type="dxa"/>
            <w:shd w:val="pct12" w:color="auto" w:fill="auto"/>
          </w:tcPr>
          <w:p w:rsidR="00F10F37" w:rsidRPr="00F07C50" w:rsidRDefault="00F10F37" w:rsidP="00F10F37">
            <w:pPr>
              <w:spacing w:line="312" w:lineRule="auto"/>
              <w:jc w:val="both"/>
              <w:rPr>
                <w:rFonts w:ascii="ITC Slimbach LT CE" w:hAnsi="ITC Slimbach LT CE"/>
                <w:sz w:val="24"/>
              </w:rPr>
            </w:pPr>
            <w:r w:rsidRPr="00F07C50">
              <w:rPr>
                <w:rFonts w:ascii="ITC Slimbach LT CE" w:hAnsi="ITC Slimbach LT CE"/>
                <w:sz w:val="24"/>
              </w:rPr>
              <w:t>Dimensions : 700 x 420 mm et 1 400 x 420 mm en surface posée</w:t>
            </w:r>
          </w:p>
        </w:tc>
      </w:tr>
      <w:tr w:rsidR="00F10F37" w:rsidRPr="00F07C50" w:rsidTr="00F04E07">
        <w:trPr>
          <w:trHeight w:val="180"/>
        </w:trPr>
        <w:tc>
          <w:tcPr>
            <w:tcW w:w="9104" w:type="dxa"/>
            <w:shd w:val="pct12" w:color="auto" w:fill="auto"/>
          </w:tcPr>
          <w:p w:rsidR="00F10F37" w:rsidRPr="00F07C50" w:rsidRDefault="00F10F37" w:rsidP="00F10F37">
            <w:pPr>
              <w:spacing w:line="312" w:lineRule="auto"/>
              <w:jc w:val="both"/>
              <w:rPr>
                <w:rFonts w:ascii="ITC Slimbach LT CE" w:hAnsi="ITC Slimbach LT CE"/>
                <w:sz w:val="24"/>
                <w:lang w:val="de-AT"/>
              </w:rPr>
            </w:pPr>
            <w:r w:rsidRPr="00F07C50">
              <w:rPr>
                <w:rFonts w:ascii="ITC Slimbach LT CE" w:hAnsi="ITC Slimbach LT CE"/>
                <w:sz w:val="24"/>
              </w:rPr>
              <w:t>Poids : 2,3 kg/m</w:t>
            </w:r>
            <w:r w:rsidRPr="00F07C50">
              <w:rPr>
                <w:rFonts w:ascii="ITC Slimbach LT CE" w:hAnsi="ITC Slimbach LT CE"/>
                <w:sz w:val="24"/>
                <w:vertAlign w:val="superscript"/>
              </w:rPr>
              <w:t>2</w:t>
            </w:r>
          </w:p>
        </w:tc>
      </w:tr>
      <w:tr w:rsidR="00F10F37" w:rsidRPr="00F07C50" w:rsidTr="00F04E07">
        <w:trPr>
          <w:trHeight w:val="180"/>
        </w:trPr>
        <w:tc>
          <w:tcPr>
            <w:tcW w:w="9104" w:type="dxa"/>
            <w:shd w:val="pct12" w:color="auto" w:fill="auto"/>
          </w:tcPr>
          <w:p w:rsidR="00F10F37" w:rsidRPr="00F07C50" w:rsidRDefault="00F10F37" w:rsidP="00F10F37">
            <w:pPr>
              <w:spacing w:line="312" w:lineRule="auto"/>
              <w:jc w:val="both"/>
              <w:rPr>
                <w:rFonts w:ascii="ITC Slimbach LT CE" w:hAnsi="ITC Slimbach LT CE"/>
                <w:sz w:val="24"/>
              </w:rPr>
            </w:pPr>
            <w:r w:rsidRPr="00F07C50">
              <w:rPr>
                <w:rFonts w:ascii="ITC Slimbach LT CE" w:hAnsi="ITC Slimbach LT CE"/>
                <w:sz w:val="24"/>
              </w:rPr>
              <w:t>Revêtement : laquage à chaud deux couches, haute qualité</w:t>
            </w:r>
          </w:p>
        </w:tc>
      </w:tr>
      <w:tr w:rsidR="00F10F37" w:rsidRPr="00F07C50" w:rsidTr="00F04E07">
        <w:trPr>
          <w:trHeight w:val="180"/>
        </w:trPr>
        <w:tc>
          <w:tcPr>
            <w:tcW w:w="9104" w:type="dxa"/>
            <w:shd w:val="pct12" w:color="auto" w:fill="auto"/>
          </w:tcPr>
          <w:p w:rsidR="00F10F37" w:rsidRPr="00F07C50" w:rsidRDefault="00F10F37" w:rsidP="00F10F37">
            <w:pPr>
              <w:spacing w:line="312" w:lineRule="auto"/>
              <w:jc w:val="both"/>
              <w:rPr>
                <w:rFonts w:ascii="ITC Slimbach LT CE" w:hAnsi="ITC Slimbach LT CE"/>
                <w:sz w:val="24"/>
                <w:lang w:val="de-AT"/>
              </w:rPr>
            </w:pPr>
            <w:r w:rsidRPr="00F07C50">
              <w:rPr>
                <w:rFonts w:ascii="ITC Slimbach LT CE" w:hAnsi="ITC Slimbach LT CE"/>
                <w:sz w:val="24"/>
              </w:rPr>
              <w:t>Fixation : vis ou clous</w:t>
            </w:r>
          </w:p>
        </w:tc>
      </w:tr>
      <w:tr w:rsidR="00F10F37" w:rsidRPr="00F07C50" w:rsidTr="00F04E07">
        <w:trPr>
          <w:trHeight w:val="180"/>
        </w:trPr>
        <w:tc>
          <w:tcPr>
            <w:tcW w:w="9104" w:type="dxa"/>
            <w:shd w:val="pct12" w:color="auto" w:fill="auto"/>
          </w:tcPr>
          <w:p w:rsidR="00F10F37" w:rsidRPr="00F07C50" w:rsidRDefault="00F10F37" w:rsidP="00F10F37">
            <w:pPr>
              <w:spacing w:line="312" w:lineRule="auto"/>
              <w:jc w:val="both"/>
              <w:rPr>
                <w:rFonts w:ascii="ITC Slimbach LT CE" w:hAnsi="ITC Slimbach LT CE"/>
                <w:sz w:val="24"/>
              </w:rPr>
            </w:pPr>
            <w:r w:rsidRPr="00F07C50">
              <w:rPr>
                <w:rFonts w:ascii="ITC Slimbach LT CE" w:hAnsi="ITC Slimbach LT CE"/>
                <w:sz w:val="24"/>
              </w:rPr>
              <w:t>Pose : sur volige ou lattage</w:t>
            </w:r>
          </w:p>
        </w:tc>
      </w:tr>
    </w:tbl>
    <w:p w:rsidR="000A6BDF" w:rsidRPr="00F07C50" w:rsidRDefault="000A6BDF" w:rsidP="00941F31">
      <w:pPr>
        <w:spacing w:after="0" w:line="312" w:lineRule="auto"/>
        <w:jc w:val="both"/>
        <w:rPr>
          <w:rFonts w:ascii="ITC Slimbach LT CE" w:hAnsi="ITC Slimbach LT CE"/>
          <w:sz w:val="24"/>
        </w:rPr>
      </w:pPr>
    </w:p>
    <w:p w:rsidR="00DC51B5" w:rsidRPr="00F07C50" w:rsidRDefault="00DC51B5" w:rsidP="00941F31">
      <w:pPr>
        <w:spacing w:after="0" w:line="312" w:lineRule="auto"/>
        <w:jc w:val="both"/>
        <w:rPr>
          <w:rFonts w:ascii="ITC Slimbach LT CE" w:hAnsi="ITC Slimbach LT CE"/>
          <w:b/>
          <w:sz w:val="24"/>
        </w:rPr>
      </w:pPr>
    </w:p>
    <w:p w:rsidR="00DC51B5" w:rsidRPr="00F07C50" w:rsidRDefault="00F07C50" w:rsidP="00941F31">
      <w:pPr>
        <w:spacing w:after="0" w:line="312" w:lineRule="auto"/>
        <w:jc w:val="both"/>
        <w:rPr>
          <w:rFonts w:ascii="ITC Slimbach LT CE" w:hAnsi="ITC Slimbach LT CE"/>
          <w:b/>
          <w:sz w:val="24"/>
        </w:rPr>
      </w:pPr>
      <w:r w:rsidRPr="00F07C50">
        <w:rPr>
          <w:rFonts w:ascii="ITC Slimbach LT CE" w:hAnsi="ITC Slimbach LT CE"/>
          <w:noProof/>
          <w:lang w:val="de-AT" w:eastAsia="de-AT"/>
        </w:rPr>
        <w:pict>
          <v:shapetype id="_x0000_t202" coordsize="21600,21600" o:spt="202" path="m,l,21600r21600,l21600,xe">
            <v:stroke joinstyle="miter"/>
            <v:path gradientshapeok="t" o:connecttype="rect"/>
          </v:shapetype>
          <v:shape id="Textfeld 2" o:spid="_x0000_s1026" type="#_x0000_t202" style="position:absolute;left:0;text-align:left;margin-left:-1.5pt;margin-top:2.4pt;width:455.65pt;height:165.1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" fillcolor="#c00000" strokecolor="#a6a6a6">
            <v:textbox>
              <w:txbxContent>
                <w:p w:rsidR="0019748E" w:rsidRPr="001413D8" w:rsidRDefault="0019748E" w:rsidP="00CE3C77">
                  <w:pPr>
                    <w:jc w:val="both"/>
                    <w:rPr>
                      <w:rFonts w:ascii="Slimbach LT" w:hAnsi="Slimbach LT"/>
                      <w:sz w:val="24"/>
                    </w:rPr>
                  </w:pPr>
                  <w:r>
                    <w:rPr>
                      <w:rFonts w:ascii="Times New Roman" w:hAnsi="Times New Roman" w:cs="Times New Roman"/>
                      <w:b/>
                    </w:rPr>
                    <w:t>Le conseil des architectes :</w:t>
                  </w:r>
                </w:p>
                <w:p w:rsidR="00F10F37" w:rsidRDefault="001413D8" w:rsidP="00023690">
                  <w:pPr>
                    <w:spacing w:after="0" w:line="240" w:lineRule="auto"/>
                    <w:rPr>
                      <w:rFonts w:ascii="Times New Roman" w:hAnsi="Times New Roman" w:cs="Times New Roman"/>
                    </w:rPr>
                  </w:pPr>
                  <w:r>
                    <w:rPr>
                      <w:rFonts w:ascii="Times New Roman" w:hAnsi="Times New Roman" w:cs="Times New Roman"/>
                    </w:rPr>
                    <w:t>« </w:t>
                  </w:r>
                  <w:r w:rsidR="00F10F37">
                    <w:rPr>
                      <w:rFonts w:ascii="Times New Roman" w:hAnsi="Times New Roman" w:cs="Times New Roman"/>
                    </w:rPr>
                    <w:t>Pour chaque projet de construction, l'environnement direct et le lieu sont des facteurs déterminants, qui vont définir l'orientation. Ils permettent de savoir ce à quoi ressemblera l'ouvrage à la fin.</w:t>
                  </w:r>
                </w:p>
                <w:p w:rsidR="00F10F37" w:rsidRDefault="00F10F37" w:rsidP="00023690">
                  <w:pPr>
                    <w:spacing w:after="0" w:line="240" w:lineRule="auto"/>
                    <w:rPr>
                      <w:rFonts w:ascii="Times New Roman" w:hAnsi="Times New Roman" w:cs="Times New Roman"/>
                    </w:rPr>
                  </w:pPr>
                </w:p>
                <w:p w:rsidR="0019748E" w:rsidRPr="00905173" w:rsidRDefault="00F10F37" w:rsidP="00023690">
                  <w:pPr>
                    <w:spacing w:after="0" w:line="240" w:lineRule="auto"/>
                    <w:rPr>
                      <w:rFonts w:ascii="Times New Roman" w:hAnsi="Times New Roman" w:cs="Times New Roman"/>
                    </w:rPr>
                  </w:pPr>
                  <w:r>
                    <w:rPr>
                      <w:rFonts w:ascii="Times New Roman" w:hAnsi="Times New Roman" w:cs="Times New Roman"/>
                    </w:rPr>
                    <w:t>C'est presque comme un processus naturel. La cohérence est très importante d</w:t>
                  </w:r>
                  <w:r w:rsidR="001413D8">
                    <w:rPr>
                      <w:rFonts w:ascii="Times New Roman" w:hAnsi="Times New Roman" w:cs="Times New Roman"/>
                    </w:rPr>
                    <w:t>ans la réalisation d'un projet. »</w:t>
                  </w:r>
                </w:p>
                <w:p w:rsidR="0019748E" w:rsidRDefault="0019748E" w:rsidP="00023690">
                  <w:pPr>
                    <w:spacing w:after="0" w:line="240" w:lineRule="auto"/>
                  </w:pPr>
                </w:p>
                <w:p w:rsidR="00F10F37" w:rsidRPr="001413D8" w:rsidRDefault="00F10F37" w:rsidP="00023690">
                  <w:pPr>
                    <w:spacing w:after="0" w:line="240" w:lineRule="auto"/>
                    <w:rPr>
                      <w:rFonts w:ascii="Slimbach LT" w:hAnsi="Slimbach LT"/>
                      <w:sz w:val="24"/>
                    </w:rPr>
                  </w:pPr>
                  <w:r>
                    <w:rPr>
                      <w:rFonts w:ascii="Arial Unicode MS" w:hAnsi="Arial Unicode MS"/>
                      <w:sz w:val="24"/>
                    </w:rPr>
                    <w:t>Ivan Dolejš, chef de projet</w:t>
                  </w:r>
                </w:p>
                <w:p w:rsidR="00F10F37" w:rsidRDefault="00F10F37" w:rsidP="00023690">
                  <w:pPr>
                    <w:spacing w:after="0" w:line="240" w:lineRule="auto"/>
                  </w:pPr>
                  <w:r>
                    <w:rPr>
                      <w:rFonts w:ascii="Arial Unicode MS" w:hAnsi="Arial Unicode MS"/>
                      <w:sz w:val="24"/>
                    </w:rPr>
                    <w:t>František Čekal, architecte</w:t>
                  </w:r>
                </w:p>
              </w:txbxContent>
            </v:textbox>
          </v:shape>
        </w:pict>
      </w:r>
    </w:p>
    <w:p w:rsidR="00023690" w:rsidRPr="00F07C50" w:rsidRDefault="00023690" w:rsidP="00941F31">
      <w:pPr>
        <w:spacing w:after="0" w:line="312" w:lineRule="auto"/>
        <w:jc w:val="both"/>
        <w:rPr>
          <w:rFonts w:ascii="ITC Slimbach LT CE" w:hAnsi="ITC Slimbach LT CE"/>
          <w:b/>
          <w:sz w:val="24"/>
        </w:rPr>
      </w:pPr>
    </w:p>
    <w:p w:rsidR="00023690" w:rsidRPr="00F07C50" w:rsidRDefault="00023690" w:rsidP="00941F31">
      <w:pPr>
        <w:spacing w:after="0" w:line="312" w:lineRule="auto"/>
        <w:jc w:val="both"/>
        <w:rPr>
          <w:rFonts w:ascii="ITC Slimbach LT CE" w:hAnsi="ITC Slimbach LT CE"/>
          <w:b/>
          <w:sz w:val="24"/>
        </w:rPr>
      </w:pPr>
    </w:p>
    <w:p w:rsidR="00023690" w:rsidRPr="00F07C50" w:rsidRDefault="00023690" w:rsidP="00941F31">
      <w:pPr>
        <w:spacing w:after="0" w:line="312" w:lineRule="auto"/>
        <w:jc w:val="both"/>
        <w:rPr>
          <w:rFonts w:ascii="ITC Slimbach LT CE" w:hAnsi="ITC Slimbach LT CE"/>
          <w:b/>
          <w:sz w:val="24"/>
        </w:rPr>
      </w:pPr>
    </w:p>
    <w:p w:rsidR="00023690" w:rsidRPr="00F07C50" w:rsidRDefault="00023690" w:rsidP="00941F31">
      <w:pPr>
        <w:spacing w:after="0" w:line="312" w:lineRule="auto"/>
        <w:jc w:val="both"/>
        <w:rPr>
          <w:rFonts w:ascii="ITC Slimbach LT CE" w:hAnsi="ITC Slimbach LT CE"/>
          <w:b/>
          <w:sz w:val="24"/>
        </w:rPr>
      </w:pPr>
    </w:p>
    <w:p w:rsidR="00023690" w:rsidRPr="00F07C50" w:rsidRDefault="00023690" w:rsidP="00941F31">
      <w:pPr>
        <w:spacing w:after="0" w:line="312" w:lineRule="auto"/>
        <w:jc w:val="both"/>
        <w:rPr>
          <w:rFonts w:ascii="ITC Slimbach LT CE" w:hAnsi="ITC Slimbach LT CE"/>
          <w:b/>
          <w:sz w:val="24"/>
        </w:rPr>
      </w:pPr>
    </w:p>
    <w:p w:rsidR="00023690" w:rsidRPr="00F07C50" w:rsidRDefault="00023690" w:rsidP="00941F31">
      <w:pPr>
        <w:spacing w:after="0" w:line="312" w:lineRule="auto"/>
        <w:jc w:val="both"/>
        <w:rPr>
          <w:rFonts w:ascii="ITC Slimbach LT CE" w:hAnsi="ITC Slimbach LT CE"/>
          <w:b/>
          <w:sz w:val="24"/>
        </w:rPr>
      </w:pPr>
    </w:p>
    <w:p w:rsidR="00023690" w:rsidRPr="00F07C50" w:rsidRDefault="00023690" w:rsidP="00941F31">
      <w:pPr>
        <w:spacing w:after="0" w:line="312" w:lineRule="auto"/>
        <w:jc w:val="both"/>
        <w:rPr>
          <w:rFonts w:ascii="ITC Slimbach LT CE" w:hAnsi="ITC Slimbach LT CE"/>
          <w:b/>
          <w:sz w:val="24"/>
        </w:rPr>
      </w:pPr>
    </w:p>
    <w:p w:rsidR="00023690" w:rsidRPr="00F07C50" w:rsidRDefault="00023690" w:rsidP="00941F31">
      <w:pPr>
        <w:spacing w:after="0" w:line="312" w:lineRule="auto"/>
        <w:jc w:val="both"/>
        <w:rPr>
          <w:rFonts w:ascii="ITC Slimbach LT CE" w:hAnsi="ITC Slimbach LT CE"/>
          <w:b/>
          <w:sz w:val="24"/>
        </w:rPr>
      </w:pPr>
    </w:p>
    <w:p w:rsidR="00023690" w:rsidRPr="00F07C50" w:rsidRDefault="00023690" w:rsidP="00941F31">
      <w:pPr>
        <w:spacing w:after="0" w:line="312" w:lineRule="auto"/>
        <w:jc w:val="both"/>
        <w:rPr>
          <w:rFonts w:ascii="ITC Slimbach LT CE" w:hAnsi="ITC Slimbach LT CE"/>
          <w:b/>
          <w:sz w:val="24"/>
        </w:rPr>
      </w:pPr>
    </w:p>
    <w:p w:rsidR="00DC51B5" w:rsidRPr="00F07C50" w:rsidRDefault="00DC51B5" w:rsidP="00425AA9">
      <w:pPr>
        <w:spacing w:after="0" w:line="312" w:lineRule="auto"/>
        <w:jc w:val="both"/>
        <w:rPr>
          <w:rFonts w:ascii="ITC Slimbach LT CE" w:hAnsi="ITC Slimbach LT CE"/>
          <w:b/>
          <w:sz w:val="20"/>
          <w:szCs w:val="20"/>
        </w:rPr>
      </w:pPr>
    </w:p>
    <w:p w:rsidR="00DC51B5" w:rsidRPr="00F07C50" w:rsidRDefault="00DC51B5" w:rsidP="00425AA9">
      <w:pPr>
        <w:spacing w:after="0" w:line="312" w:lineRule="auto"/>
        <w:jc w:val="both"/>
        <w:rPr>
          <w:rFonts w:ascii="ITC Slimbach LT CE" w:hAnsi="ITC Slimbach LT CE"/>
          <w:b/>
          <w:sz w:val="20"/>
          <w:szCs w:val="20"/>
        </w:rPr>
      </w:pPr>
    </w:p>
    <w:p w:rsidR="00DC51B5" w:rsidRPr="00F07C50" w:rsidRDefault="00DC51B5" w:rsidP="00425AA9">
      <w:pPr>
        <w:spacing w:after="0" w:line="312" w:lineRule="auto"/>
        <w:jc w:val="both"/>
        <w:rPr>
          <w:rFonts w:ascii="ITC Slimbach LT CE" w:hAnsi="ITC Slimbach LT CE"/>
          <w:b/>
          <w:sz w:val="20"/>
          <w:szCs w:val="20"/>
        </w:rPr>
      </w:pPr>
    </w:p>
    <w:p w:rsidR="001413D8" w:rsidRPr="00F07C50" w:rsidRDefault="00425AA9" w:rsidP="00425AA9">
      <w:pPr>
        <w:spacing w:after="0" w:line="312" w:lineRule="auto"/>
        <w:jc w:val="both"/>
        <w:rPr>
          <w:rFonts w:ascii="ITC Slimbach LT CE" w:hAnsi="ITC Slimbach LT CE"/>
          <w:sz w:val="20"/>
          <w:szCs w:val="20"/>
        </w:rPr>
      </w:pPr>
      <w:r w:rsidRPr="00F07C50">
        <w:rPr>
          <w:rFonts w:ascii="ITC Slimbach LT CE" w:hAnsi="ITC Slimbach LT CE"/>
          <w:b/>
          <w:sz w:val="20"/>
          <w:szCs w:val="20"/>
        </w:rPr>
        <w:t>PREFA en bref</w:t>
      </w:r>
      <w:r w:rsidRPr="00F07C50">
        <w:rPr>
          <w:rFonts w:ascii="ITC Slimbach LT CE" w:hAnsi="ITC Slimbach LT CE"/>
          <w:sz w:val="20"/>
          <w:szCs w:val="20"/>
        </w:rPr>
        <w:t xml:space="preserve"> </w:t>
      </w:r>
    </w:p>
    <w:p w:rsidR="00425AA9" w:rsidRPr="00F07C50" w:rsidRDefault="00425AA9" w:rsidP="00425AA9">
      <w:pPr>
        <w:spacing w:after="0" w:line="312" w:lineRule="auto"/>
        <w:jc w:val="both"/>
        <w:rPr>
          <w:rFonts w:ascii="ITC Slimbach LT CE" w:hAnsi="ITC Slimbach LT CE"/>
          <w:sz w:val="20"/>
          <w:szCs w:val="20"/>
        </w:rPr>
      </w:pPr>
      <w:r w:rsidRPr="00F07C50">
        <w:rPr>
          <w:rFonts w:ascii="ITC Slimbach LT CE" w:hAnsi="ITC Slimbach LT CE"/>
          <w:b/>
          <w:sz w:val="20"/>
          <w:szCs w:val="20"/>
        </w:rPr>
        <w:t>L'entreprise PREFA Aluminiumprodukte GmbH, spécialisée dans le développement, la production et la commercialisation de systèmes de toit et de façades en aluminium, est présente dans toute l'Europe depuis 65 ans.</w:t>
      </w:r>
      <w:r w:rsidRPr="00F07C50">
        <w:rPr>
          <w:rFonts w:ascii="ITC Slimbach LT CE" w:hAnsi="ITC Slimbach LT CE"/>
          <w:sz w:val="20"/>
          <w:szCs w:val="20"/>
        </w:rPr>
        <w:t xml:space="preserve"> Au total, le groupe PREFA emploie 400 personnes, dont</w:t>
      </w:r>
      <w:r w:rsidR="001413D8" w:rsidRPr="00F07C50">
        <w:rPr>
          <w:rFonts w:ascii="ITC Slimbach LT CE" w:hAnsi="ITC Slimbach LT CE"/>
          <w:sz w:val="20"/>
          <w:szCs w:val="20"/>
        </w:rPr>
        <w:t xml:space="preserve"> 180 en Autriche. Les plus de 4 </w:t>
      </w:r>
      <w:r w:rsidRPr="00F07C50">
        <w:rPr>
          <w:rFonts w:ascii="ITC Slimbach LT CE" w:hAnsi="ITC Slimbach LT CE"/>
          <w:sz w:val="20"/>
          <w:szCs w:val="20"/>
        </w:rPr>
        <w:t xml:space="preserve">000 produits haut de gamme sont exclusivement produits en Autriche et en Allemagne. PREFA fait partie du groupe de l'industriel Dr. Cornelius Grupp, qui emploie plus de 6 000 personnes dans le monde sur plus de 30 sites de production. </w:t>
      </w:r>
    </w:p>
    <w:p w:rsidR="00770A64" w:rsidRPr="00F07C50" w:rsidRDefault="00770A64" w:rsidP="0088020F">
      <w:pPr>
        <w:spacing w:after="0" w:line="312" w:lineRule="auto"/>
        <w:jc w:val="both"/>
        <w:rPr>
          <w:rFonts w:ascii="ITC Slimbach LT CE" w:hAnsi="ITC Slimbach LT CE"/>
          <w:b/>
          <w:sz w:val="24"/>
        </w:rPr>
      </w:pPr>
    </w:p>
    <w:p w:rsidR="00500FCA" w:rsidRPr="00F07C50" w:rsidRDefault="00F058D9" w:rsidP="0088020F">
      <w:pPr>
        <w:spacing w:after="0" w:line="312" w:lineRule="auto"/>
        <w:jc w:val="both"/>
        <w:rPr>
          <w:rFonts w:ascii="ITC Slimbach LT CE" w:hAnsi="ITC Slimbach LT CE"/>
          <w:b/>
          <w:sz w:val="24"/>
        </w:rPr>
      </w:pPr>
      <w:r w:rsidRPr="00F07C50">
        <w:rPr>
          <w:rFonts w:ascii="ITC Slimbach LT CE" w:hAnsi="ITC Slimbach LT CE"/>
          <w:b/>
          <w:sz w:val="24"/>
        </w:rPr>
        <w:t>Légendes :</w:t>
      </w:r>
    </w:p>
    <w:p w:rsidR="008A7422" w:rsidRPr="00F07C50" w:rsidRDefault="008A7422" w:rsidP="0088020F">
      <w:pPr>
        <w:spacing w:after="0" w:line="312" w:lineRule="auto"/>
        <w:jc w:val="both"/>
        <w:rPr>
          <w:rFonts w:ascii="ITC Slimbach LT CE" w:hAnsi="ITC Slimbach LT CE"/>
          <w:b/>
          <w:sz w:val="16"/>
          <w:szCs w:val="16"/>
          <w:lang w:val="pt-PT"/>
        </w:rPr>
      </w:pPr>
    </w:p>
    <w:p w:rsidR="00911DC6" w:rsidRPr="00F07C50" w:rsidRDefault="00911DC6" w:rsidP="0088020F">
      <w:pPr>
        <w:spacing w:after="0" w:line="312" w:lineRule="auto"/>
        <w:jc w:val="both"/>
        <w:rPr>
          <w:rFonts w:ascii="ITC Slimbach LT CE" w:hAnsi="ITC Slimbach LT CE"/>
          <w:b/>
          <w:sz w:val="16"/>
          <w:szCs w:val="16"/>
          <w:lang w:val="pt-PT"/>
        </w:rPr>
      </w:pPr>
      <w:r w:rsidRPr="00F07C50">
        <w:rPr>
          <w:rFonts w:ascii="ITC Slimbach LT CE" w:hAnsi="ITC Slimbach LT CE"/>
          <w:b/>
          <w:sz w:val="16"/>
          <w:szCs w:val="16"/>
        </w:rPr>
        <w:t>Crédits photo :</w:t>
      </w:r>
    </w:p>
    <w:p w:rsidR="00911DC6" w:rsidRPr="00F07C50" w:rsidRDefault="00911DC6" w:rsidP="0088020F">
      <w:pPr>
        <w:spacing w:after="0" w:line="312" w:lineRule="auto"/>
        <w:jc w:val="both"/>
        <w:rPr>
          <w:rFonts w:ascii="ITC Slimbach LT CE" w:hAnsi="ITC Slimbach LT CE"/>
          <w:sz w:val="16"/>
          <w:szCs w:val="16"/>
          <w:lang w:val="pt-PT"/>
        </w:rPr>
      </w:pPr>
      <w:r w:rsidRPr="00F07C50">
        <w:rPr>
          <w:rFonts w:ascii="ITC Slimbach LT CE" w:hAnsi="ITC Slimbach LT CE"/>
          <w:sz w:val="16"/>
          <w:szCs w:val="16"/>
        </w:rPr>
        <w:t>PREFA/Croce Reproduction sans honoraires</w:t>
      </w:r>
    </w:p>
    <w:p w:rsidR="003371C3" w:rsidRPr="00F07C50" w:rsidRDefault="003371C3" w:rsidP="0088020F">
      <w:pPr>
        <w:spacing w:after="0" w:line="312" w:lineRule="auto"/>
        <w:jc w:val="both"/>
        <w:rPr>
          <w:rFonts w:ascii="ITC Slimbach LT CE" w:hAnsi="ITC Slimbach LT CE"/>
          <w:sz w:val="16"/>
          <w:szCs w:val="16"/>
          <w:lang w:val="pt-PT"/>
        </w:rPr>
      </w:pPr>
    </w:p>
    <w:p w:rsidR="006F2311" w:rsidRPr="00F07C50" w:rsidRDefault="006F2311" w:rsidP="0088020F">
      <w:pPr>
        <w:spacing w:after="0" w:line="312" w:lineRule="auto"/>
        <w:jc w:val="both"/>
        <w:rPr>
          <w:rFonts w:ascii="ITC Slimbach LT CE" w:hAnsi="ITC Slimbach LT CE"/>
          <w:sz w:val="16"/>
          <w:szCs w:val="16"/>
          <w:u w:val="single"/>
          <w:lang w:val="pt-PT"/>
        </w:rPr>
      </w:pPr>
      <w:r w:rsidRPr="00F07C50">
        <w:rPr>
          <w:rFonts w:ascii="ITC Slimbach LT CE" w:hAnsi="ITC Slimbach LT CE"/>
          <w:sz w:val="16"/>
          <w:szCs w:val="16"/>
          <w:u w:val="single"/>
        </w:rPr>
        <w:t>Pour plus d'informations, veuillez contacter :</w:t>
      </w:r>
    </w:p>
    <w:p w:rsidR="002E6678" w:rsidRPr="00F07C50" w:rsidRDefault="00970663" w:rsidP="0088020F">
      <w:pPr>
        <w:spacing w:after="0" w:line="312" w:lineRule="auto"/>
        <w:jc w:val="both"/>
        <w:rPr>
          <w:rFonts w:ascii="ITC Slimbach LT CE" w:hAnsi="ITC Slimbach LT CE"/>
          <w:sz w:val="16"/>
          <w:szCs w:val="16"/>
          <w:lang w:val="pt-PT"/>
        </w:rPr>
      </w:pPr>
      <w:r w:rsidRPr="00F07C50">
        <w:rPr>
          <w:rFonts w:ascii="ITC Slimbach LT CE" w:hAnsi="ITC Slimbach LT CE"/>
          <w:sz w:val="16"/>
          <w:szCs w:val="16"/>
          <w:lang w:val="de-DE"/>
        </w:rPr>
        <w:t>Rudolf Körber</w:t>
      </w:r>
    </w:p>
    <w:p w:rsidR="002E6678" w:rsidRPr="00F07C50" w:rsidRDefault="002E6678" w:rsidP="0088020F">
      <w:pPr>
        <w:spacing w:after="0" w:line="312" w:lineRule="auto"/>
        <w:jc w:val="both"/>
        <w:rPr>
          <w:rFonts w:ascii="ITC Slimbach LT CE" w:hAnsi="ITC Slimbach LT CE"/>
          <w:sz w:val="16"/>
          <w:szCs w:val="16"/>
          <w:lang w:val="pt-PT"/>
        </w:rPr>
      </w:pPr>
      <w:r w:rsidRPr="00F07C50">
        <w:rPr>
          <w:rFonts w:ascii="ITC Slimbach LT CE" w:hAnsi="ITC Slimbach LT CE"/>
          <w:sz w:val="16"/>
          <w:szCs w:val="16"/>
          <w:lang w:val="de-DE"/>
        </w:rPr>
        <w:t>Directeur Marketing international</w:t>
      </w:r>
    </w:p>
    <w:p w:rsidR="006F2311" w:rsidRPr="00F07C50" w:rsidRDefault="006F2311" w:rsidP="0088020F">
      <w:pPr>
        <w:spacing w:after="0" w:line="312" w:lineRule="auto"/>
        <w:jc w:val="both"/>
        <w:rPr>
          <w:rFonts w:ascii="ITC Slimbach LT CE" w:hAnsi="ITC Slimbach LT CE"/>
          <w:sz w:val="16"/>
          <w:szCs w:val="16"/>
          <w:lang w:val="pt-PT"/>
        </w:rPr>
      </w:pPr>
      <w:r w:rsidRPr="00F07C50">
        <w:rPr>
          <w:rFonts w:ascii="ITC Slimbach LT CE" w:hAnsi="ITC Slimbach LT CE"/>
          <w:sz w:val="16"/>
          <w:szCs w:val="16"/>
          <w:lang w:val="de-DE"/>
        </w:rPr>
        <w:t>PREFA Aluminiumprodukte GmbH</w:t>
      </w:r>
    </w:p>
    <w:p w:rsidR="006F2311" w:rsidRPr="00F07C50" w:rsidRDefault="006F2311" w:rsidP="0088020F">
      <w:pPr>
        <w:spacing w:after="0" w:line="312" w:lineRule="auto"/>
        <w:jc w:val="both"/>
        <w:rPr>
          <w:rFonts w:ascii="ITC Slimbach LT CE" w:hAnsi="ITC Slimbach LT CE"/>
          <w:sz w:val="16"/>
          <w:szCs w:val="16"/>
          <w:lang w:val="pt-PT"/>
        </w:rPr>
      </w:pPr>
      <w:r w:rsidRPr="00F07C50">
        <w:rPr>
          <w:rFonts w:ascii="ITC Slimbach LT CE" w:hAnsi="ITC Slimbach LT CE"/>
          <w:sz w:val="16"/>
          <w:szCs w:val="16"/>
          <w:lang w:val="de-DE"/>
        </w:rPr>
        <w:t>Werkstraße 1, A-3182 Marktl/Lilienfeld</w:t>
      </w:r>
    </w:p>
    <w:p w:rsidR="006F2311" w:rsidRPr="00F07C50" w:rsidRDefault="006F2311" w:rsidP="0088020F">
      <w:pPr>
        <w:spacing w:after="0" w:line="312" w:lineRule="auto"/>
        <w:jc w:val="both"/>
        <w:rPr>
          <w:rFonts w:ascii="ITC Slimbach LT CE" w:hAnsi="ITC Slimbach LT CE"/>
          <w:sz w:val="16"/>
          <w:szCs w:val="16"/>
          <w:lang w:val="pt-PT"/>
        </w:rPr>
      </w:pPr>
      <w:r w:rsidRPr="00F07C50">
        <w:rPr>
          <w:rFonts w:ascii="ITC Slimbach LT CE" w:hAnsi="ITC Slimbach LT CE"/>
          <w:sz w:val="16"/>
          <w:szCs w:val="16"/>
        </w:rPr>
        <w:t>T: +43 2762 502-836</w:t>
      </w:r>
    </w:p>
    <w:p w:rsidR="002E6678" w:rsidRPr="00F07C50" w:rsidRDefault="002E6678" w:rsidP="0088020F">
      <w:pPr>
        <w:spacing w:after="0" w:line="312" w:lineRule="auto"/>
        <w:jc w:val="both"/>
        <w:rPr>
          <w:rFonts w:ascii="ITC Slimbach LT CE" w:hAnsi="ITC Slimbach LT CE"/>
          <w:sz w:val="16"/>
          <w:szCs w:val="16"/>
          <w:lang w:val="pt-PT"/>
        </w:rPr>
      </w:pPr>
      <w:r w:rsidRPr="00F07C50">
        <w:rPr>
          <w:rFonts w:ascii="ITC Slimbach LT CE" w:hAnsi="ITC Slimbach LT CE"/>
          <w:sz w:val="16"/>
          <w:szCs w:val="16"/>
        </w:rPr>
        <w:t>Portable : +43/664/4423400</w:t>
      </w:r>
    </w:p>
    <w:p w:rsidR="006F2311" w:rsidRPr="00F07C50" w:rsidRDefault="002E6678" w:rsidP="00770A64">
      <w:pPr>
        <w:spacing w:after="0" w:line="312" w:lineRule="auto"/>
        <w:jc w:val="both"/>
        <w:rPr>
          <w:rFonts w:ascii="ITC Slimbach LT CE" w:hAnsi="ITC Slimbach LT CE"/>
          <w:sz w:val="16"/>
          <w:szCs w:val="16"/>
          <w:lang w:val="pt-PT"/>
        </w:rPr>
      </w:pPr>
      <w:r w:rsidRPr="00F07C50">
        <w:rPr>
          <w:rFonts w:ascii="ITC Slimbach LT CE" w:hAnsi="ITC Slimbach LT CE"/>
          <w:sz w:val="16"/>
          <w:szCs w:val="16"/>
          <w:lang w:val="de-DE"/>
        </w:rPr>
        <w:t>E-mail : rudolf.koerber@prefa.com</w:t>
      </w:r>
    </w:p>
    <w:sectPr w:rsidR="006F2311" w:rsidRPr="00F07C50" w:rsidSect="0047627A">
      <w:headerReference w:type="default" r:id="rId6"/>
      <w:pgSz w:w="11906" w:h="16838"/>
      <w:pgMar w:top="2239"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058" w:rsidRDefault="007C3058" w:rsidP="006F2311">
      <w:pPr>
        <w:spacing w:after="0" w:line="240" w:lineRule="auto"/>
      </w:pPr>
      <w:r>
        <w:separator/>
      </w:r>
    </w:p>
  </w:endnote>
  <w:endnote w:type="continuationSeparator" w:id="0">
    <w:p w:rsidR="007C3058" w:rsidRDefault="007C3058"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Slimbach LT CE">
    <w:panose1 w:val="00000500000000000000"/>
    <w:charset w:val="00"/>
    <w:family w:val="auto"/>
    <w:pitch w:val="variable"/>
    <w:sig w:usb0="800000AF" w:usb1="4000204A" w:usb2="00000000" w:usb3="00000000" w:csb0="00000093" w:csb1="00000000"/>
  </w:font>
  <w:font w:name="Slimbach LT">
    <w:panose1 w:val="02000503060000020004"/>
    <w:charset w:val="00"/>
    <w:family w:val="auto"/>
    <w:pitch w:val="variable"/>
    <w:sig w:usb0="800000A7" w:usb1="0000004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058" w:rsidRDefault="007C3058" w:rsidP="006F2311">
      <w:pPr>
        <w:spacing w:after="0" w:line="240" w:lineRule="auto"/>
      </w:pPr>
      <w:r>
        <w:separator/>
      </w:r>
    </w:p>
  </w:footnote>
  <w:footnote w:type="continuationSeparator" w:id="0">
    <w:p w:rsidR="007C3058" w:rsidRDefault="007C3058"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48E" w:rsidRPr="00F07C50" w:rsidRDefault="00F07C50" w:rsidP="00F07C50">
    <w:pPr>
      <w:pStyle w:val="Kopfzeile"/>
    </w:pPr>
    <w:r>
      <w:rPr>
        <w:noProof/>
        <w:lang w:val="de-DE" w:eastAsia="de-DE"/>
      </w:rPr>
      <w:drawing>
        <wp:inline distT="0" distB="0" distL="0" distR="0">
          <wp:extent cx="2889250" cy="541020"/>
          <wp:effectExtent l="0" t="0" r="0" b="0"/>
          <wp:docPr id="2" name="Grafik 2" descr="slogan 1 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an 1 lig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5410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9D2D13"/>
    <w:rsid w:val="000074E7"/>
    <w:rsid w:val="0001440A"/>
    <w:rsid w:val="00023690"/>
    <w:rsid w:val="00023CF5"/>
    <w:rsid w:val="00034CEA"/>
    <w:rsid w:val="00035DB4"/>
    <w:rsid w:val="0003609D"/>
    <w:rsid w:val="00036770"/>
    <w:rsid w:val="00040A1A"/>
    <w:rsid w:val="00081A96"/>
    <w:rsid w:val="000862C5"/>
    <w:rsid w:val="00090327"/>
    <w:rsid w:val="00097719"/>
    <w:rsid w:val="000A0308"/>
    <w:rsid w:val="000A6BDF"/>
    <w:rsid w:val="000B2455"/>
    <w:rsid w:val="000B6CEF"/>
    <w:rsid w:val="000C2ED7"/>
    <w:rsid w:val="000C46AF"/>
    <w:rsid w:val="000C4E88"/>
    <w:rsid w:val="000C53AA"/>
    <w:rsid w:val="000C6003"/>
    <w:rsid w:val="000D56FE"/>
    <w:rsid w:val="000E3172"/>
    <w:rsid w:val="000E3B6D"/>
    <w:rsid w:val="000E497E"/>
    <w:rsid w:val="000E50C6"/>
    <w:rsid w:val="000F0272"/>
    <w:rsid w:val="00130E4E"/>
    <w:rsid w:val="001413D8"/>
    <w:rsid w:val="0014697B"/>
    <w:rsid w:val="00180BC4"/>
    <w:rsid w:val="00183A08"/>
    <w:rsid w:val="00186641"/>
    <w:rsid w:val="00190041"/>
    <w:rsid w:val="0019748E"/>
    <w:rsid w:val="001A086F"/>
    <w:rsid w:val="001A0FA6"/>
    <w:rsid w:val="001B3151"/>
    <w:rsid w:val="001B3B56"/>
    <w:rsid w:val="001B54A9"/>
    <w:rsid w:val="001C1DA0"/>
    <w:rsid w:val="001D03CD"/>
    <w:rsid w:val="001D2844"/>
    <w:rsid w:val="001E34E1"/>
    <w:rsid w:val="001E5630"/>
    <w:rsid w:val="001F042F"/>
    <w:rsid w:val="00206536"/>
    <w:rsid w:val="00207998"/>
    <w:rsid w:val="0021200F"/>
    <w:rsid w:val="002135A4"/>
    <w:rsid w:val="00217CB2"/>
    <w:rsid w:val="00223D04"/>
    <w:rsid w:val="00233ED6"/>
    <w:rsid w:val="00246B26"/>
    <w:rsid w:val="002553B4"/>
    <w:rsid w:val="00256194"/>
    <w:rsid w:val="00260A48"/>
    <w:rsid w:val="0026119D"/>
    <w:rsid w:val="002648F9"/>
    <w:rsid w:val="00265C3B"/>
    <w:rsid w:val="00267BD7"/>
    <w:rsid w:val="00271BB6"/>
    <w:rsid w:val="002736DD"/>
    <w:rsid w:val="00277652"/>
    <w:rsid w:val="00280229"/>
    <w:rsid w:val="002904D5"/>
    <w:rsid w:val="002B37A4"/>
    <w:rsid w:val="002B3F13"/>
    <w:rsid w:val="002B465F"/>
    <w:rsid w:val="002B6DD4"/>
    <w:rsid w:val="002E1131"/>
    <w:rsid w:val="002E4F58"/>
    <w:rsid w:val="002E6678"/>
    <w:rsid w:val="002F5DF4"/>
    <w:rsid w:val="00306AA8"/>
    <w:rsid w:val="003134D5"/>
    <w:rsid w:val="00315139"/>
    <w:rsid w:val="003171E2"/>
    <w:rsid w:val="003371C3"/>
    <w:rsid w:val="00343E10"/>
    <w:rsid w:val="00346085"/>
    <w:rsid w:val="003507F8"/>
    <w:rsid w:val="003773F8"/>
    <w:rsid w:val="003848C4"/>
    <w:rsid w:val="003902BF"/>
    <w:rsid w:val="003916BD"/>
    <w:rsid w:val="003B3BED"/>
    <w:rsid w:val="003B6D50"/>
    <w:rsid w:val="003C6537"/>
    <w:rsid w:val="003E3885"/>
    <w:rsid w:val="003E6793"/>
    <w:rsid w:val="003E6929"/>
    <w:rsid w:val="003E721A"/>
    <w:rsid w:val="003F0666"/>
    <w:rsid w:val="003F306C"/>
    <w:rsid w:val="0041413F"/>
    <w:rsid w:val="0042136D"/>
    <w:rsid w:val="00425AA9"/>
    <w:rsid w:val="004335F3"/>
    <w:rsid w:val="00433A40"/>
    <w:rsid w:val="004356DD"/>
    <w:rsid w:val="00436654"/>
    <w:rsid w:val="00436AD3"/>
    <w:rsid w:val="00437151"/>
    <w:rsid w:val="00441A92"/>
    <w:rsid w:val="0044536E"/>
    <w:rsid w:val="004475A2"/>
    <w:rsid w:val="004627C1"/>
    <w:rsid w:val="00463AB6"/>
    <w:rsid w:val="004652DC"/>
    <w:rsid w:val="004675F3"/>
    <w:rsid w:val="004750A5"/>
    <w:rsid w:val="0047627A"/>
    <w:rsid w:val="00491581"/>
    <w:rsid w:val="0049643E"/>
    <w:rsid w:val="004A1A94"/>
    <w:rsid w:val="004A6A3F"/>
    <w:rsid w:val="004C4E2C"/>
    <w:rsid w:val="004D4AA7"/>
    <w:rsid w:val="004F1F7D"/>
    <w:rsid w:val="004F55B2"/>
    <w:rsid w:val="00500FCA"/>
    <w:rsid w:val="00501259"/>
    <w:rsid w:val="0051799E"/>
    <w:rsid w:val="00520C9D"/>
    <w:rsid w:val="00525D47"/>
    <w:rsid w:val="00536898"/>
    <w:rsid w:val="00545D3B"/>
    <w:rsid w:val="005623AB"/>
    <w:rsid w:val="0057196C"/>
    <w:rsid w:val="00572A88"/>
    <w:rsid w:val="00573394"/>
    <w:rsid w:val="005755D8"/>
    <w:rsid w:val="00582D75"/>
    <w:rsid w:val="00583CE9"/>
    <w:rsid w:val="00586602"/>
    <w:rsid w:val="005B706E"/>
    <w:rsid w:val="005C7A64"/>
    <w:rsid w:val="005D09A9"/>
    <w:rsid w:val="005D7D3F"/>
    <w:rsid w:val="005E1BDF"/>
    <w:rsid w:val="005F1501"/>
    <w:rsid w:val="00604BE7"/>
    <w:rsid w:val="00623A4A"/>
    <w:rsid w:val="00630F16"/>
    <w:rsid w:val="00635EB9"/>
    <w:rsid w:val="00637B42"/>
    <w:rsid w:val="00650A11"/>
    <w:rsid w:val="00653C98"/>
    <w:rsid w:val="00655D1D"/>
    <w:rsid w:val="00663AE8"/>
    <w:rsid w:val="0066525E"/>
    <w:rsid w:val="006729C3"/>
    <w:rsid w:val="00692706"/>
    <w:rsid w:val="006A163E"/>
    <w:rsid w:val="006A6106"/>
    <w:rsid w:val="006B01A8"/>
    <w:rsid w:val="006B1719"/>
    <w:rsid w:val="006B44CD"/>
    <w:rsid w:val="006B73E0"/>
    <w:rsid w:val="006B7A29"/>
    <w:rsid w:val="006C5BDA"/>
    <w:rsid w:val="006D600E"/>
    <w:rsid w:val="006E7DD1"/>
    <w:rsid w:val="006F2311"/>
    <w:rsid w:val="0071209C"/>
    <w:rsid w:val="00712DBC"/>
    <w:rsid w:val="00716D99"/>
    <w:rsid w:val="007214D2"/>
    <w:rsid w:val="007230E7"/>
    <w:rsid w:val="00731193"/>
    <w:rsid w:val="00735DAF"/>
    <w:rsid w:val="00754705"/>
    <w:rsid w:val="007565B4"/>
    <w:rsid w:val="00761989"/>
    <w:rsid w:val="00761E56"/>
    <w:rsid w:val="00770A64"/>
    <w:rsid w:val="007824A4"/>
    <w:rsid w:val="007A5E89"/>
    <w:rsid w:val="007B0380"/>
    <w:rsid w:val="007B1A9D"/>
    <w:rsid w:val="007B7148"/>
    <w:rsid w:val="007B7CA3"/>
    <w:rsid w:val="007C06BE"/>
    <w:rsid w:val="007C2DD6"/>
    <w:rsid w:val="007C3058"/>
    <w:rsid w:val="007C4B7C"/>
    <w:rsid w:val="007E6E10"/>
    <w:rsid w:val="007F23A9"/>
    <w:rsid w:val="0081447F"/>
    <w:rsid w:val="008225FB"/>
    <w:rsid w:val="0082281D"/>
    <w:rsid w:val="00833A0E"/>
    <w:rsid w:val="0084719B"/>
    <w:rsid w:val="0085077A"/>
    <w:rsid w:val="008540AF"/>
    <w:rsid w:val="00856274"/>
    <w:rsid w:val="00857595"/>
    <w:rsid w:val="00864672"/>
    <w:rsid w:val="008707CB"/>
    <w:rsid w:val="00872833"/>
    <w:rsid w:val="0088020F"/>
    <w:rsid w:val="0088562F"/>
    <w:rsid w:val="00890506"/>
    <w:rsid w:val="00896608"/>
    <w:rsid w:val="008A7422"/>
    <w:rsid w:val="008B3027"/>
    <w:rsid w:val="008B65E5"/>
    <w:rsid w:val="008C2E42"/>
    <w:rsid w:val="008C3F2C"/>
    <w:rsid w:val="008F0613"/>
    <w:rsid w:val="008F2C2E"/>
    <w:rsid w:val="008F6857"/>
    <w:rsid w:val="00911DC6"/>
    <w:rsid w:val="009225AB"/>
    <w:rsid w:val="009235B4"/>
    <w:rsid w:val="00925007"/>
    <w:rsid w:val="00925250"/>
    <w:rsid w:val="0093173E"/>
    <w:rsid w:val="009410B5"/>
    <w:rsid w:val="00941F31"/>
    <w:rsid w:val="00944180"/>
    <w:rsid w:val="00970663"/>
    <w:rsid w:val="0097203E"/>
    <w:rsid w:val="00984492"/>
    <w:rsid w:val="00994054"/>
    <w:rsid w:val="00994297"/>
    <w:rsid w:val="009976DE"/>
    <w:rsid w:val="009A1A18"/>
    <w:rsid w:val="009A2001"/>
    <w:rsid w:val="009A362E"/>
    <w:rsid w:val="009A6CC4"/>
    <w:rsid w:val="009B4448"/>
    <w:rsid w:val="009C63D9"/>
    <w:rsid w:val="009C78E4"/>
    <w:rsid w:val="009D2D13"/>
    <w:rsid w:val="009E5D0B"/>
    <w:rsid w:val="009E6160"/>
    <w:rsid w:val="009E6E6A"/>
    <w:rsid w:val="009F2D65"/>
    <w:rsid w:val="00A03A61"/>
    <w:rsid w:val="00A052FE"/>
    <w:rsid w:val="00A111E7"/>
    <w:rsid w:val="00A11C7B"/>
    <w:rsid w:val="00A145E9"/>
    <w:rsid w:val="00A17EA4"/>
    <w:rsid w:val="00A24BF4"/>
    <w:rsid w:val="00A45B96"/>
    <w:rsid w:val="00A564F3"/>
    <w:rsid w:val="00A56E1E"/>
    <w:rsid w:val="00A60D82"/>
    <w:rsid w:val="00A62442"/>
    <w:rsid w:val="00A74D27"/>
    <w:rsid w:val="00A76A88"/>
    <w:rsid w:val="00A90890"/>
    <w:rsid w:val="00AA5103"/>
    <w:rsid w:val="00AB32F1"/>
    <w:rsid w:val="00AD5C95"/>
    <w:rsid w:val="00AE2BAA"/>
    <w:rsid w:val="00AE5616"/>
    <w:rsid w:val="00AF1CFC"/>
    <w:rsid w:val="00B106D0"/>
    <w:rsid w:val="00B11C6C"/>
    <w:rsid w:val="00B15F48"/>
    <w:rsid w:val="00B21509"/>
    <w:rsid w:val="00B22C24"/>
    <w:rsid w:val="00B23D09"/>
    <w:rsid w:val="00B251FD"/>
    <w:rsid w:val="00B32AF6"/>
    <w:rsid w:val="00B35BF3"/>
    <w:rsid w:val="00B46C51"/>
    <w:rsid w:val="00B515E2"/>
    <w:rsid w:val="00B51910"/>
    <w:rsid w:val="00B64757"/>
    <w:rsid w:val="00B95593"/>
    <w:rsid w:val="00BA68A7"/>
    <w:rsid w:val="00BA7E3E"/>
    <w:rsid w:val="00BD1753"/>
    <w:rsid w:val="00BD3135"/>
    <w:rsid w:val="00BE7E1F"/>
    <w:rsid w:val="00BF324C"/>
    <w:rsid w:val="00C00875"/>
    <w:rsid w:val="00C05D34"/>
    <w:rsid w:val="00C06D92"/>
    <w:rsid w:val="00C11307"/>
    <w:rsid w:val="00C12616"/>
    <w:rsid w:val="00C14815"/>
    <w:rsid w:val="00C17EB9"/>
    <w:rsid w:val="00C22B69"/>
    <w:rsid w:val="00C30366"/>
    <w:rsid w:val="00C44A4F"/>
    <w:rsid w:val="00C45B6A"/>
    <w:rsid w:val="00C515B2"/>
    <w:rsid w:val="00C65381"/>
    <w:rsid w:val="00C76AF8"/>
    <w:rsid w:val="00C81207"/>
    <w:rsid w:val="00C8746F"/>
    <w:rsid w:val="00CA4DA4"/>
    <w:rsid w:val="00CB13B7"/>
    <w:rsid w:val="00CB401C"/>
    <w:rsid w:val="00CB6BC6"/>
    <w:rsid w:val="00CC0403"/>
    <w:rsid w:val="00CC4EF5"/>
    <w:rsid w:val="00CD1966"/>
    <w:rsid w:val="00CD4877"/>
    <w:rsid w:val="00CD7C2D"/>
    <w:rsid w:val="00CE2CAD"/>
    <w:rsid w:val="00CE3C77"/>
    <w:rsid w:val="00CE6CFD"/>
    <w:rsid w:val="00CF147E"/>
    <w:rsid w:val="00CF7CE6"/>
    <w:rsid w:val="00D107B3"/>
    <w:rsid w:val="00D26ECB"/>
    <w:rsid w:val="00D33E22"/>
    <w:rsid w:val="00D34535"/>
    <w:rsid w:val="00D34EBB"/>
    <w:rsid w:val="00D37080"/>
    <w:rsid w:val="00D4056E"/>
    <w:rsid w:val="00D41154"/>
    <w:rsid w:val="00D42840"/>
    <w:rsid w:val="00D45DA1"/>
    <w:rsid w:val="00D47C21"/>
    <w:rsid w:val="00D51469"/>
    <w:rsid w:val="00D559DB"/>
    <w:rsid w:val="00D611F4"/>
    <w:rsid w:val="00D62D8F"/>
    <w:rsid w:val="00D662A3"/>
    <w:rsid w:val="00D6749D"/>
    <w:rsid w:val="00D70B93"/>
    <w:rsid w:val="00D91B82"/>
    <w:rsid w:val="00D95DB5"/>
    <w:rsid w:val="00DA20CE"/>
    <w:rsid w:val="00DA689F"/>
    <w:rsid w:val="00DC51B5"/>
    <w:rsid w:val="00DC5465"/>
    <w:rsid w:val="00DD6E73"/>
    <w:rsid w:val="00DE0EBE"/>
    <w:rsid w:val="00DE5EA4"/>
    <w:rsid w:val="00DE6350"/>
    <w:rsid w:val="00E223DB"/>
    <w:rsid w:val="00E25DB8"/>
    <w:rsid w:val="00E27AE7"/>
    <w:rsid w:val="00E30EC3"/>
    <w:rsid w:val="00E37021"/>
    <w:rsid w:val="00E43AD8"/>
    <w:rsid w:val="00E46BE2"/>
    <w:rsid w:val="00E57F01"/>
    <w:rsid w:val="00E82FD2"/>
    <w:rsid w:val="00E84CE8"/>
    <w:rsid w:val="00E86D5D"/>
    <w:rsid w:val="00EA5F92"/>
    <w:rsid w:val="00EB2F89"/>
    <w:rsid w:val="00EC0E87"/>
    <w:rsid w:val="00EC368A"/>
    <w:rsid w:val="00EC4F27"/>
    <w:rsid w:val="00ED2B9E"/>
    <w:rsid w:val="00ED4EBE"/>
    <w:rsid w:val="00ED52F1"/>
    <w:rsid w:val="00EE0B78"/>
    <w:rsid w:val="00EE5314"/>
    <w:rsid w:val="00EF5A64"/>
    <w:rsid w:val="00EF6703"/>
    <w:rsid w:val="00F058D9"/>
    <w:rsid w:val="00F07C50"/>
    <w:rsid w:val="00F10F37"/>
    <w:rsid w:val="00F1161D"/>
    <w:rsid w:val="00F11B39"/>
    <w:rsid w:val="00F22F00"/>
    <w:rsid w:val="00F3370A"/>
    <w:rsid w:val="00F36A90"/>
    <w:rsid w:val="00F43BBD"/>
    <w:rsid w:val="00F475C5"/>
    <w:rsid w:val="00F52DFA"/>
    <w:rsid w:val="00F55EE2"/>
    <w:rsid w:val="00F55EF2"/>
    <w:rsid w:val="00F6094D"/>
    <w:rsid w:val="00F61815"/>
    <w:rsid w:val="00F6738C"/>
    <w:rsid w:val="00F74C4E"/>
    <w:rsid w:val="00F8204F"/>
    <w:rsid w:val="00F84511"/>
    <w:rsid w:val="00F87A9F"/>
    <w:rsid w:val="00FA0D43"/>
    <w:rsid w:val="00FA7BB5"/>
    <w:rsid w:val="00FB049B"/>
    <w:rsid w:val="00FB7D6B"/>
    <w:rsid w:val="00FC2175"/>
    <w:rsid w:val="00FC5E22"/>
    <w:rsid w:val="00FD4B4E"/>
    <w:rsid w:val="00FE0126"/>
    <w:rsid w:val="00FF12A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5D0BE6D-8C48-4B33-9340-D94FCB9D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4E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semiHidden/>
    <w:unhideWhenUsed/>
    <w:rsid w:val="00692706"/>
    <w:rPr>
      <w:color w:val="0000FF" w:themeColor="hyperlink"/>
      <w:u w:val="single"/>
    </w:rPr>
  </w:style>
  <w:style w:type="character" w:customStyle="1" w:styleId="st">
    <w:name w:val="st"/>
    <w:basedOn w:val="Absatz-Standardschriftart"/>
    <w:rsid w:val="002E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5329</Characters>
  <Application>Microsoft Office Word</Application>
  <DocSecurity>0</DocSecurity>
  <Lines>121</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cp:lastModifiedBy>Rappel Julia</cp:lastModifiedBy>
  <cp:revision>5</cp:revision>
  <cp:lastPrinted>2015-02-17T13:15:00Z</cp:lastPrinted>
  <dcterms:created xsi:type="dcterms:W3CDTF">2015-04-15T05:08:00Z</dcterms:created>
  <dcterms:modified xsi:type="dcterms:W3CDTF">2016-07-14T09:07:00Z</dcterms:modified>
</cp:coreProperties>
</file>