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2459" w14:textId="5DAAA25B"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67A86A4F"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43033BD4"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E1B19C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20B867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6DE183"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Titre 02.12 Profil triangle</w:t>
      </w:r>
    </w:p>
    <w:p w14:paraId="5B7148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409E90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3E7B1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17048290"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23118F0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3A9BD29"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51CACD1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6C2C089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05232AA" w14:textId="77777777" w:rsidR="004B50AA" w:rsidRPr="005540FC"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1C6E8B6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57E6108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0151AC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34B046C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99883B4"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B0185C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476FB84"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039BBBF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886B160"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24F5DA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9C8CF33" w14:textId="5A8478BC" w:rsidR="004B50AA" w:rsidRPr="005540FC"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17C190DA" w14:textId="77777777" w:rsidR="004B50AA" w:rsidRPr="005540FC"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77DEACF2" w14:textId="77777777" w:rsidR="004B50AA" w:rsidRPr="005540FC"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349DB12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20A12A8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1E8B02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36BB2D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CE479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9D6ADD" w14:textId="2A09AE6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02.12.1 Habillage de façade — profil triangle 22/40/2,0</w:t>
      </w:r>
    </w:p>
    <w:p w14:paraId="0CFFD967" w14:textId="47830FFC"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Livraison et pose d’un habillage de façade en aluminium inoxydable réalisé à partir de profils triangle PREFA 22/40/2,0 ; conformément aux détails de mise en œuvre et en respect des exigences statiques ; pose alignée sur la sous-construction existante. Matériel de fixation PREFA inclus (fixation invisible au moyen de pattes de fixation coulissantes ; pose sur sous-construction existante). Respecter les directives de pose PREFA.</w:t>
      </w:r>
    </w:p>
    <w:p w14:paraId="4E440CA6"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3A61A0B"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Pose : horizontale / verticale / diagonale</w:t>
      </w:r>
    </w:p>
    <w:p w14:paraId="3641D464" w14:textId="1394EC42"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utile : 200 mm</w:t>
      </w:r>
    </w:p>
    <w:p w14:paraId="167DC33E" w14:textId="31C6E7BF"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Hauteur du profil : 20 mm</w:t>
      </w:r>
    </w:p>
    <w:p w14:paraId="71B7DCDD" w14:textId="66462896"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Espacement par rapport au profil : 40 mm</w:t>
      </w:r>
    </w:p>
    <w:p w14:paraId="35A10518" w14:textId="0334D5CD"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entre 500 et 6200 mm (revêtement thermolaqué : max. 3 000 mm)</w:t>
      </w:r>
    </w:p>
    <w:p w14:paraId="7D4D3877" w14:textId="414C14C7"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2,00 mm</w:t>
      </w:r>
    </w:p>
    <w:p w14:paraId="167C29C4" w14:textId="77777777"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7,5 kg/m²</w:t>
      </w:r>
    </w:p>
    <w:p w14:paraId="345AF37C" w14:textId="77777777"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1AD8B6A6" w14:textId="77777777" w:rsidR="0037437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AW-6060 T66</w:t>
      </w:r>
    </w:p>
    <w:p w14:paraId="2B87509E" w14:textId="4DD260CF"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Faces avant et arrière : thermolaquage / aluminium naturel / anodisé A6 CO</w:t>
      </w:r>
    </w:p>
    <w:p w14:paraId="012C76A6" w14:textId="77777777" w:rsidR="004B50AA" w:rsidRPr="005540FC"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 (selon nuancier RAL)</w:t>
      </w:r>
    </w:p>
    <w:p w14:paraId="21D06917" w14:textId="01580147" w:rsidR="004B50AA" w:rsidRPr="003C6144" w:rsidRDefault="004B50AA" w:rsidP="00C67253">
      <w:pPr>
        <w:widowControl w:val="0"/>
        <w:autoSpaceDE w:val="0"/>
        <w:autoSpaceDN w:val="0"/>
        <w:adjustRightInd w:val="0"/>
        <w:ind w:right="1870"/>
        <w:rPr>
          <w:rFonts w:ascii="Arial" w:hAnsi="Arial" w:cs="Arial"/>
          <w:color w:val="000000"/>
          <w:sz w:val="20"/>
        </w:rPr>
      </w:pPr>
      <w:r>
        <w:rPr>
          <w:rFonts w:ascii="Arial" w:hAnsi="Arial"/>
          <w:color w:val="000000"/>
          <w:sz w:val="20"/>
          <w:szCs w:val="20"/>
        </w:rPr>
        <w:t>Classe de réaction au feu : A1 conformément à la norme EN 13501-1</w:t>
      </w:r>
    </w:p>
    <w:p w14:paraId="535C6655" w14:textId="77777777" w:rsidR="004B50AA" w:rsidRPr="003C6144" w:rsidRDefault="004B50AA" w:rsidP="00C67253">
      <w:pPr>
        <w:widowControl w:val="0"/>
        <w:autoSpaceDE w:val="0"/>
        <w:autoSpaceDN w:val="0"/>
        <w:adjustRightInd w:val="0"/>
        <w:ind w:right="1870"/>
        <w:rPr>
          <w:rFonts w:ascii="Arial" w:hAnsi="Arial" w:cs="Arial"/>
          <w:color w:val="000000"/>
          <w:sz w:val="20"/>
          <w:lang w:val="x-none" w:eastAsia="x-none"/>
        </w:rPr>
      </w:pPr>
    </w:p>
    <w:p w14:paraId="1ACE9B1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2099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A10255"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FE326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38F51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1FE1DA" w14:textId="1D8B37F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02.12.2 Profil de départ PREFA pour profil triangle 22/40/2,0</w:t>
      </w:r>
    </w:p>
    <w:p w14:paraId="7E28484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de départ extrudés ; pour la réalisation des raccordement inférieurs et d’une séparation horizontale lorsque le profil triangle PREFA est installé horizontalement. Comprend le matériel de fixation et l’ajustage à l’habillage de façade PREFA.</w:t>
      </w:r>
    </w:p>
    <w:p w14:paraId="6A68BA3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EBC5FF1" w14:textId="27B47B64"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Surface visible : 13 mm</w:t>
      </w:r>
    </w:p>
    <w:p w14:paraId="2BB96E7A" w14:textId="6B97F87B"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3 000 mm</w:t>
      </w:r>
    </w:p>
    <w:p w14:paraId="03D01491"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finition : identique au produit principal</w:t>
      </w:r>
    </w:p>
    <w:p w14:paraId="60B1B4C6"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1C70EF5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399B2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682576"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871E3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2FACD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066388" w14:textId="492176D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02.12.3 Mise en œuvre d’angles (angles sortants et rentrants) — profil triangle PREFA (un élément)</w:t>
      </w:r>
    </w:p>
    <w:p w14:paraId="342557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(un élément) ; comprend le matériel de fixation et l’ajustage à l’habillage de façade PREFA.</w:t>
      </w:r>
    </w:p>
    <w:p w14:paraId="17A58BC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4EFBE90" w14:textId="1900CE9F"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200 mm</w:t>
      </w:r>
    </w:p>
    <w:p w14:paraId="3C6E646B" w14:textId="4F4F5351"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720F28FF"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AA4AD75"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A9F2DD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7AF07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0CFA8A6"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985BF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B1CBB2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437A51" w14:textId="36DB093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02.10.4 Mise en œuvre d’angles (angles sortants et rentrants) — profil ondulé PREFA (deux éléments)</w:t>
      </w:r>
    </w:p>
    <w:p w14:paraId="1FB838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(deux éléments) ; comprend le matériel de fixation et l’ajustage à l’habillage de façade PREFA.</w:t>
      </w:r>
    </w:p>
    <w:p w14:paraId="794A9D7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E87C329" w14:textId="527B1809"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250 mm</w:t>
      </w:r>
    </w:p>
    <w:p w14:paraId="7956C924" w14:textId="6AE65AC5"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8 pc.</w:t>
      </w:r>
    </w:p>
    <w:p w14:paraId="116F74B3"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BDCAC00"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BBF65F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8B6EF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D005BEA"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1D3102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20650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AD1108B" w14:textId="0D07CDB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02.12.5 Mise en œuvre d’angles (angles sortants et rentrants) — profil triangle PREFA (trois éléments)</w:t>
      </w:r>
    </w:p>
    <w:p w14:paraId="61746B2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(trois éléments) ; comprend le matériel de fixation et l’ajustage à l’habillage de façade PREFA.</w:t>
      </w:r>
    </w:p>
    <w:p w14:paraId="4A3F9C0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515864" w14:textId="14CAB2A0"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450 mm</w:t>
      </w:r>
    </w:p>
    <w:p w14:paraId="1CB8AF60" w14:textId="6C986A1B"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742CAE71"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12D2A92"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CC7174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CD3E7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876AFFE"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C4A85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E2255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BC073F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02.12.6 Renvoi d’eau PREFA</w:t>
      </w:r>
    </w:p>
    <w:p w14:paraId="312CDADD"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renvois d’eau PREFA pour le raccordement inférieur ; séparation horizontale ou raccordement supérieur de fenêtre ; profil de liaison compris.</w:t>
      </w:r>
    </w:p>
    <w:p w14:paraId="20D522D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BA70BD8"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27E209B"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alliage AlM1Mg0,5</w:t>
      </w:r>
    </w:p>
    <w:p w14:paraId="7BB5AA8E" w14:textId="303E7A69"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 mm</w:t>
      </w:r>
    </w:p>
    <w:p w14:paraId="035CF80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0A41ADB"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Renvoi d’eau :</w:t>
      </w:r>
    </w:p>
    <w:p w14:paraId="52A71621" w14:textId="38DB4B5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6F08D045" w14:textId="5794FF2E"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402AD091" w14:textId="2CC3479B"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45901AE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465BE2E"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Profil de liaison :</w:t>
      </w:r>
    </w:p>
    <w:p w14:paraId="0E3DBA83"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Matériau : aluminium gaufré</w:t>
      </w:r>
    </w:p>
    <w:p w14:paraId="7128F839"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Couleur : anthracite</w:t>
      </w:r>
    </w:p>
    <w:p w14:paraId="4BC78B3B" w14:textId="6B1F4F58"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150 mm</w:t>
      </w:r>
    </w:p>
    <w:p w14:paraId="41353F4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2C8A53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Comprend le matériel de fixation et le bon ajustage au profil triangle PREFA.</w:t>
      </w:r>
    </w:p>
    <w:p w14:paraId="5677DB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3E8585"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C9523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85531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D1BDF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02.12.7 Profil replié PREFA pour profil triangle 22/40/2,0</w:t>
      </w:r>
    </w:p>
    <w:p w14:paraId="1A71D5D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1C2597E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9409FD3" w14:textId="0087E1C5"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135 mm</w:t>
      </w:r>
    </w:p>
    <w:p w14:paraId="6F4062FA" w14:textId="6428D6BF"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1421FE4B" w14:textId="7DC072BD"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77254541"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BDECFCA"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5DD657EA"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AlMn1Mg0,5</w:t>
      </w:r>
    </w:p>
    <w:p w14:paraId="02F79CA1" w14:textId="504DE0C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704080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829804"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0EB5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5551C6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2F8AC3" w14:textId="4E3F144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02.12.8 Raccordement inférieur du profil triangle PREFA</w:t>
      </w:r>
    </w:p>
    <w:p w14:paraId="13EB318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40D80E5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BAA0015" w14:textId="2C184C3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03D20A7D"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2BE8FD42"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2448880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0D9706C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5EAD2E8"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Bande de recouvrement :</w:t>
      </w:r>
    </w:p>
    <w:p w14:paraId="4CAA0258" w14:textId="54A365A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128D1BF" w14:textId="0900AE43"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 mm</w:t>
      </w:r>
    </w:p>
    <w:p w14:paraId="060355D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9000D10"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Profil de jonction :</w:t>
      </w:r>
    </w:p>
    <w:p w14:paraId="22020C5C" w14:textId="3852D564"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43A0EE54" w14:textId="1915B09C"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0FE3DC3E" w14:textId="41F8BF6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3384F4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98C216"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55A88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20692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6FC2E1" w14:textId="0BA9569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02.12.9 Raccordement vertical (embrasure) pour portes et fenêtres (réalisé à partir de bandes complémentaires PREFA)</w:t>
      </w:r>
    </w:p>
    <w:p w14:paraId="2D94224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26F3F76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866FCB0"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Habillage de tableau :</w:t>
      </w:r>
    </w:p>
    <w:p w14:paraId="21F8D6B6" w14:textId="7669A68D"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6251D7CF" w14:textId="59F9F67F"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78D11C47" w14:textId="59F5F9D3"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0936C835"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Matériau : aluminium</w:t>
      </w:r>
    </w:p>
    <w:p w14:paraId="15AB48D6"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Alliage : AlMn1Mg0,5</w:t>
      </w:r>
    </w:p>
    <w:p w14:paraId="6715FA54"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5131586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D1888B5"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6141712D" w14:textId="1A4E3B6F"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269FBB11" w14:textId="6E7CC3EA"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58D84E58" w14:textId="6CDF735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7D4277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F470BE"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19622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BB733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3F36E8" w14:textId="3445C6F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02.12.10 Raccordement horizontal (linteau) pour portes et fenêtres (réalisé à partir de bandes complémentaires PREFA)</w:t>
      </w:r>
    </w:p>
    <w:p w14:paraId="1D2A31C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76C494C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E8C8F4D"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linteau :</w:t>
      </w:r>
    </w:p>
    <w:p w14:paraId="2162644D" w14:textId="41626832"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56AEA408" w14:textId="77A9A99A"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04D79A61" w14:textId="09C38C9A"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5E4A3C0D"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Matériau : aluminium</w:t>
      </w:r>
    </w:p>
    <w:p w14:paraId="60EE9D21"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Alliage : AlMn1Mg0,5</w:t>
      </w:r>
    </w:p>
    <w:p w14:paraId="3D0EF61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0203E145"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9E5D2C7" w14:textId="77777777"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30D41DC6" w14:textId="43F2B340"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5486FA9D" w14:textId="1D8B2ADD" w:rsidR="004B50AA" w:rsidRPr="005540FC"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59493007" w14:textId="7D8B088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7C451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8926E7"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5A6524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AEFFB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945FAC" w14:textId="3DD618F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02.12.11 Tablettes de fenêtre réalisées à partir de bandes complémentaires</w:t>
      </w:r>
    </w:p>
    <w:p w14:paraId="63274E08" w14:textId="1C649F64" w:rsidR="004B50AA" w:rsidRPr="003C6144" w:rsidRDefault="00707BC4"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75E96F2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75B3598"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Tablette de fenêtre :</w:t>
      </w:r>
    </w:p>
    <w:p w14:paraId="2123C1B1" w14:textId="7B90F89E"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73CA62FD" w14:textId="10F7F089"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36446CE3"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7A12065F"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208B5669" w14:textId="7CB93A92"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1C7EC33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4613593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F516239"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Équerre-support :</w:t>
      </w:r>
    </w:p>
    <w:p w14:paraId="2032121B" w14:textId="13EA6B6B"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BED50C7"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1 pc.</w:t>
      </w:r>
    </w:p>
    <w:p w14:paraId="1A40BA43" w14:textId="43C6FC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403659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0B064F"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1FDA3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A6A8C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4929D76" w14:textId="61DA190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02.12.12 Séparation verticale pour profil sinus PREFA (profil de raccord T)</w:t>
      </w:r>
    </w:p>
    <w:p w14:paraId="27AF6C2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séparation verticale avec profil de raccord T ; lorsque les profils sinus PREFA sont installés horizontalement. Comprend le matériel de fixation et l’ajustage aux sidings PREFA.</w:t>
      </w:r>
    </w:p>
    <w:p w14:paraId="0FD57F3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C7E59C5" w14:textId="4B2F6580"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150 mm</w:t>
      </w:r>
    </w:p>
    <w:p w14:paraId="6646868C" w14:textId="5735B9FC"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5 pc.</w:t>
      </w:r>
    </w:p>
    <w:p w14:paraId="3AA49A9A"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lastRenderedPageBreak/>
        <w:t>Matériau : aluminium</w:t>
      </w:r>
    </w:p>
    <w:p w14:paraId="57CBD571"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41C8458A" w14:textId="17B13069"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3B2091C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B8566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7BBC7DF"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9EFAD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CF7D8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50EA259" w14:textId="02404A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02.12.13 Séparation verticale pour profil sinus PREFA (couvre-joint)</w:t>
      </w:r>
    </w:p>
    <w:p w14:paraId="1D76D3C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d’une séparation verticale avec couvre-joint ; lorsque les profils sinus PREFA sont installés horizontalement. Comprend le matériel de fixation et l’ajustage aux sidings PREFA.</w:t>
      </w:r>
    </w:p>
    <w:p w14:paraId="72A7298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1F1B8CD"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014B5B55"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42FB6A9A" w14:textId="681161F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42355B8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1406321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CBBD46D"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Couvre-joint :</w:t>
      </w:r>
    </w:p>
    <w:p w14:paraId="5CD1250D" w14:textId="4FDC7BD8"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100 mm</w:t>
      </w:r>
    </w:p>
    <w:p w14:paraId="5E873A30" w14:textId="2A3C69E1"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2 pc.</w:t>
      </w:r>
    </w:p>
    <w:p w14:paraId="04D034C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28695DB" w14:textId="7BE67BB2"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Profil replié : 2 par joint raccord</w:t>
      </w:r>
    </w:p>
    <w:p w14:paraId="402FD64A" w14:textId="71069044"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Dimension de coupe : 150 mm</w:t>
      </w:r>
    </w:p>
    <w:p w14:paraId="063CA5A9" w14:textId="129D1D1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3 pc.</w:t>
      </w:r>
    </w:p>
    <w:p w14:paraId="5FABF0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37445B"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D4644A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C5971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41F2BF" w14:textId="33C58F5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02.12.14 Couronnement d’acrotère réalisé à partir de bandes complémentaires</w:t>
      </w:r>
    </w:p>
    <w:p w14:paraId="1B0A555E" w14:textId="786259D6"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7679B1A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35A1C1A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98E8639" w14:textId="1F99CCCA"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0BC003CA" w14:textId="43FCEDCE"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605E1002"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1398FC57" w14:textId="77777777" w:rsidR="004B50AA" w:rsidRPr="005540FC"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Alliage : AlMn1Mg0,5</w:t>
      </w:r>
    </w:p>
    <w:p w14:paraId="6F154063" w14:textId="6C109568" w:rsidR="004B50AA" w:rsidRPr="005540FC"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1D540B4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C4274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C70793B"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1E7A8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4458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0BD81E" w14:textId="5DEFC9C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02.12.15 Réalisation de pénétrations</w:t>
      </w:r>
    </w:p>
    <w:p w14:paraId="7D6ED1D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1F75D26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6152EB5" w14:textId="742619D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75AD8A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D9BCC6D"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pc.</w:t>
      </w:r>
      <w:r>
        <w:rPr>
          <w:rFonts w:ascii="Arial" w:hAnsi="Arial"/>
          <w:sz w:val="20"/>
          <w:szCs w:val="20"/>
        </w:rPr>
        <w:tab/>
        <w:t>PU _____________  PT _____________</w:t>
      </w:r>
    </w:p>
    <w:p w14:paraId="7CFE3BD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4AF44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896EB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02.12.16 Bande d’aluminium perforée PREFA pour façades ventilées</w:t>
      </w:r>
    </w:p>
    <w:p w14:paraId="3168CA5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1C27CC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D04F8F" w14:textId="7EE5B454"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B88F4CA"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5023F366"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0E3D8060" w14:textId="77777777"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6872A110" w14:textId="421ECBCD"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1099D9E0" w14:textId="0B6BE9D6" w:rsidR="004B50AA" w:rsidRPr="005540FC"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794831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AF485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C779205" w14:textId="77777777"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2297D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CC970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FCA30FF" w14:textId="7F006C9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02.12.17 Facturation en régie — Nombre d’heures d’ouvriers qualifiés</w:t>
      </w:r>
    </w:p>
    <w:p w14:paraId="1AC677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4AE2A9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8DDBC8" w14:textId="1BFE316C"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013575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EF54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77212E" w14:textId="609D64A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02.12.18 Facturation en régie — Nombre d’heures de manœuvres</w:t>
      </w:r>
    </w:p>
    <w:p w14:paraId="5740AD2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673FFA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827C93" w14:textId="7D0A8ECA" w:rsidR="004B50AA" w:rsidRPr="005540FC"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54F1E66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21A0F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828F481"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Titre 02.12 Profil triangle  PT ____________</w:t>
      </w:r>
    </w:p>
    <w:p w14:paraId="4638CB5C"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0BDE61B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6D5856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0B453E"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Titre 02.12 Profil triangle</w:t>
      </w:r>
    </w:p>
    <w:p w14:paraId="586C4DA3" w14:textId="77777777" w:rsidR="004B50AA" w:rsidRPr="005540FC"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4DEB58A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B40056"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0C7DDA0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53212E61"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3AFD2D29" w14:textId="77777777" w:rsidR="004B50AA" w:rsidRPr="003C6144" w:rsidRDefault="004B50AA" w:rsidP="00C67253">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47B1CA58"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3940EC">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3940EC">
      <w:rPr>
        <w:noProof/>
        <w:sz w:val="20"/>
      </w:rPr>
      <w:t>9</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3940EC"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3940EC">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940EC"/>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4F5CBD"/>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C8F1189C-924E-45B5-B20C-F362C4EF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1704</Words>
  <Characters>10741</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cp:lastPrinted>2018-07-23T11:59:00Z</cp:lastPrinted>
  <dcterms:created xsi:type="dcterms:W3CDTF">2018-07-07T12:26:00Z</dcterms:created>
  <dcterms:modified xsi:type="dcterms:W3CDTF">2018-07-23T11:59:00Z</dcterms:modified>
</cp:coreProperties>
</file>