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EDA5"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494352E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36CFCBA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8268483"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8B654D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AC3690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2"/>
          <w:szCs w:val="22"/>
        </w:rPr>
      </w:pPr>
      <w:r>
        <w:rPr>
          <w:b/>
          <w:bCs/>
          <w:sz w:val="22"/>
          <w:szCs w:val="22"/>
        </w:rPr>
        <w:t>Titre 02.01 Sous-construction pour habillages de façades</w:t>
      </w:r>
    </w:p>
    <w:p w14:paraId="45A220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7CFE18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8CD33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1B804824"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5D84CCAF" w14:textId="6B9057A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44AE317"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75F18E46" w14:textId="235C3ADD"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4EEC08F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5021D1F6"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3C80B47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30981ADD"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64B5DC3"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2458D4A3"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EE24009" w14:textId="7BD3AFF0"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48BF9CC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9EE0303" w14:textId="53B7877C"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3AF674F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BF0F5EE" w14:textId="1394F7E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06175DAB"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971110F" w14:textId="0C17D2EF"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1A83F2C" w14:textId="4793063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E8C42D6" w14:textId="7435E75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5ED135C"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BCB9EF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4D9E349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95423A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30C5EC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02.01.1 Statique du bâtiment</w:t>
      </w:r>
    </w:p>
    <w:p w14:paraId="68784D3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Réalisation et mise à disposition d’une analyse statique vérifiable portant sur le bâtiment concerné ; sans taxe de contrôle ni redevance d’agrément.</w:t>
      </w:r>
    </w:p>
    <w:p w14:paraId="6A38659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54E15E7" w14:textId="66EBF6F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1,000 forfaitaire</w:t>
      </w:r>
      <w:r>
        <w:rPr>
          <w:sz w:val="20"/>
          <w:szCs w:val="20"/>
        </w:rPr>
        <w:tab/>
        <w:t>PU _____________  PT _____________</w:t>
      </w:r>
    </w:p>
    <w:p w14:paraId="109E4DC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41B027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3BFB25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02.01.2 Bande d’aluminium perforée PREFA pour façades ventilées</w:t>
      </w:r>
    </w:p>
    <w:p w14:paraId="469471F8" w14:textId="3B3B79E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47E50FE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99F344F" w14:textId="363497F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BA6810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2DB1E5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1CBB83A8" w14:textId="0D5D8F7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60B67D93" w14:textId="6CFEFF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3FC5D6C" w14:textId="7AAFD5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1C2961E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A9E0B5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98552B7" w14:textId="121F80C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C2732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6CEDCF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E8496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02.01.3 Plaque d’isolation de façade (pour façades ventilées)</w:t>
      </w:r>
    </w:p>
    <w:p w14:paraId="1FD6B07C" w14:textId="77777777" w:rsidR="004A0473"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plaques d’isolation pour les façades ventilées ; disposées en quinconce et étroitement accolées les unes aux autres (pose bords à bords) ; en fibres minérales, hydrophobe, posées sur la sous-construction métallique existante. Comprend la fixation mécanique au moyen de supports adaptés pour panneaux isolants ; inclut aussi l’ajustage aux angles, aux fenêtres et aux montants des portes.</w:t>
      </w:r>
    </w:p>
    <w:p w14:paraId="501FA19B" w14:textId="445584DB" w:rsidR="00CE0999" w:rsidRDefault="00CE0999" w:rsidP="0075760F">
      <w:pPr>
        <w:pStyle w:val="Normal"/>
        <w:tabs>
          <w:tab w:val="left" w:pos="4536"/>
          <w:tab w:val="left" w:pos="9072"/>
          <w:tab w:val="left" w:pos="13608"/>
        </w:tabs>
        <w:ind w:right="1870"/>
        <w:rPr>
          <w:sz w:val="22"/>
          <w:szCs w:val="22"/>
          <w:lang w:eastAsia="x-none"/>
        </w:rPr>
      </w:pPr>
    </w:p>
    <w:p w14:paraId="688789CD" w14:textId="10BC465A" w:rsidR="00CE0999" w:rsidRDefault="00CE0999" w:rsidP="0075760F">
      <w:pPr>
        <w:pStyle w:val="Normal"/>
        <w:tabs>
          <w:tab w:val="left" w:pos="4536"/>
          <w:tab w:val="left" w:pos="9072"/>
          <w:tab w:val="left" w:pos="13608"/>
        </w:tabs>
        <w:ind w:right="1870"/>
        <w:rPr>
          <w:sz w:val="20"/>
          <w:szCs w:val="20"/>
        </w:rPr>
      </w:pPr>
      <w:r>
        <w:rPr>
          <w:sz w:val="20"/>
          <w:szCs w:val="20"/>
        </w:rPr>
        <w:t>Épaisseur : …… mm</w:t>
      </w:r>
    </w:p>
    <w:p w14:paraId="32BE7D27" w14:textId="37B5C770" w:rsidR="00CE0999" w:rsidRDefault="00CE0999" w:rsidP="0075760F">
      <w:pPr>
        <w:pStyle w:val="Normal"/>
        <w:tabs>
          <w:tab w:val="left" w:pos="4536"/>
          <w:tab w:val="left" w:pos="9072"/>
          <w:tab w:val="left" w:pos="13608"/>
        </w:tabs>
        <w:ind w:right="1870"/>
        <w:rPr>
          <w:sz w:val="20"/>
          <w:szCs w:val="20"/>
        </w:rPr>
      </w:pPr>
      <w:r>
        <w:rPr>
          <w:sz w:val="20"/>
          <w:szCs w:val="20"/>
        </w:rPr>
        <w:t>Dimensions : …… mm</w:t>
      </w:r>
    </w:p>
    <w:p w14:paraId="50D4086D" w14:textId="2798A088" w:rsidR="00CE0999" w:rsidRDefault="00CE0999" w:rsidP="0075760F">
      <w:pPr>
        <w:pStyle w:val="Normal"/>
        <w:tabs>
          <w:tab w:val="left" w:pos="4536"/>
          <w:tab w:val="left" w:pos="9072"/>
          <w:tab w:val="left" w:pos="13608"/>
        </w:tabs>
        <w:ind w:right="1870"/>
        <w:rPr>
          <w:sz w:val="22"/>
          <w:szCs w:val="22"/>
        </w:rPr>
      </w:pPr>
      <w:r>
        <w:rPr>
          <w:sz w:val="20"/>
          <w:szCs w:val="20"/>
        </w:rPr>
        <w:t>Conductivité thermique : ……</w:t>
      </w:r>
    </w:p>
    <w:p w14:paraId="71540D78" w14:textId="77777777" w:rsidR="00CE0999" w:rsidRDefault="00CE0999" w:rsidP="0075760F">
      <w:pPr>
        <w:pStyle w:val="Normal"/>
        <w:tabs>
          <w:tab w:val="left" w:pos="4536"/>
          <w:tab w:val="left" w:pos="9072"/>
          <w:tab w:val="left" w:pos="13608"/>
        </w:tabs>
        <w:ind w:right="1870"/>
        <w:rPr>
          <w:sz w:val="22"/>
          <w:szCs w:val="22"/>
          <w:lang w:eastAsia="x-none"/>
        </w:rPr>
      </w:pPr>
    </w:p>
    <w:p w14:paraId="4095A68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Sans limitation quant à la hauteur du bâtiment.</w:t>
      </w:r>
    </w:p>
    <w:p w14:paraId="4823A06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Respecter les instructions du fabricant.</w:t>
      </w:r>
    </w:p>
    <w:p w14:paraId="6AD6510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Produit proposé : ……</w:t>
      </w:r>
    </w:p>
    <w:p w14:paraId="3AEF76D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DB77556" w14:textId="34BF392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FAE4B1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84051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B1BD3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02.01.4 Supplément appliqué aux plaques d’isolation de façade pour la sous-face</w:t>
      </w:r>
    </w:p>
    <w:p w14:paraId="3432D5E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sous-face.</w:t>
      </w:r>
    </w:p>
    <w:p w14:paraId="1D43C31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D87D3D1" w14:textId="4FC56B3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4B9F926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3C180B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215B3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02.01.5 Sous-construction en aluminium</w:t>
      </w:r>
    </w:p>
    <w:p w14:paraId="27A3867B" w14:textId="7172F45E"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rPr>
      </w:pPr>
      <w:r>
        <w:rPr>
          <w:sz w:val="20"/>
          <w:szCs w:val="20"/>
        </w:rPr>
        <w:t>Livraison et pose d’une sous-construction réglable en aluminium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476AF43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44377A" w14:textId="3C56512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Équerres de fixation en aluminium, cales de rupture de pont thermique, profils porteurs en L ou en T (en aluminium) ; matériel d’ancrage et d’assemblage compris.</w:t>
      </w:r>
    </w:p>
    <w:p w14:paraId="5E110614" w14:textId="5968FC9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Orientation des profils porteurs : verticale / horizontale</w:t>
      </w:r>
    </w:p>
    <w:p w14:paraId="4E232766" w14:textId="512B2B9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Système proposé : ……</w:t>
      </w:r>
    </w:p>
    <w:p w14:paraId="75A0CB9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4B0530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7257E85" w14:textId="5993576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B6EED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9A836D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AE6DB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02.01.6 Sous-construction en aluminium (double épaisseur)</w:t>
      </w:r>
    </w:p>
    <w:p w14:paraId="51E5397B" w14:textId="654BA9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sous-construction réglable en aluminium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61DAF2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C71BDD7" w14:textId="3F9CE3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Équerres de fixation en aluminium, cales de rupture de pont thermique, profils porteurs horizontaux en L ou en T et profils perforés verticaux oméga ou en Z ; matériel d’ancrage et d’assemblage compris.</w:t>
      </w:r>
    </w:p>
    <w:p w14:paraId="428CB52D" w14:textId="7C8291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Orientation des profils porteurs : verticale / horizontale</w:t>
      </w:r>
    </w:p>
    <w:p w14:paraId="720DF4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Système proposé : ……</w:t>
      </w:r>
    </w:p>
    <w:p w14:paraId="1C76744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47BD2B8" w14:textId="5669C27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758C7F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3FB998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9E904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02.01.7 Sous-construction en bois et aluminium</w:t>
      </w:r>
    </w:p>
    <w:p w14:paraId="64752E2D" w14:textId="163DD199" w:rsidR="00CE0999" w:rsidRDefault="00CE0999" w:rsidP="0075760F">
      <w:pPr>
        <w:pStyle w:val="Normal"/>
        <w:ind w:right="1870"/>
        <w:rPr>
          <w:sz w:val="22"/>
          <w:szCs w:val="22"/>
        </w:rPr>
      </w:pPr>
      <w:r>
        <w:rPr>
          <w:sz w:val="20"/>
          <w:szCs w:val="20"/>
        </w:rPr>
        <w:t>Livraison et pose d’une sous-construction réglable en bois et aluminium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7E796842" w14:textId="77777777" w:rsidR="00CE0999" w:rsidRDefault="00CE0999" w:rsidP="0075760F">
      <w:pPr>
        <w:widowControl w:val="0"/>
        <w:ind w:right="1870"/>
        <w:rPr>
          <w:rFonts w:ascii="Arial" w:hAnsi="Arial" w:cs="Arial"/>
          <w:lang w:eastAsia="x-none"/>
        </w:rPr>
      </w:pPr>
    </w:p>
    <w:p w14:paraId="5F5452A9" w14:textId="235B2296" w:rsidR="00CE0999" w:rsidRDefault="00CE0999" w:rsidP="0075760F">
      <w:pPr>
        <w:widowControl w:val="0"/>
        <w:ind w:right="1870"/>
        <w:rPr>
          <w:rFonts w:ascii="Arial" w:eastAsia="Times New Roman" w:hAnsi="Arial" w:cs="Arial"/>
          <w:sz w:val="20"/>
          <w:szCs w:val="20"/>
        </w:rPr>
      </w:pPr>
      <w:r>
        <w:rPr>
          <w:rFonts w:ascii="Arial" w:hAnsi="Arial"/>
          <w:sz w:val="20"/>
          <w:szCs w:val="20"/>
        </w:rPr>
        <w:t>Équerres de fixation en aluminium, cales de rupture de pont thermique, bois à entures multiples (bois jointé) ; matériel d’ancrage et d’assemblage compris.</w:t>
      </w:r>
    </w:p>
    <w:p w14:paraId="51A4925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Système proposé : ……</w:t>
      </w:r>
    </w:p>
    <w:p w14:paraId="31901FF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F502B4A" w14:textId="41976CB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1278F0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5A6541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1EC4C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02.01.8 Sous-construction en bois</w:t>
      </w:r>
    </w:p>
    <w:p w14:paraId="7ABF5166" w14:textId="38F49C59" w:rsidR="00CE0999" w:rsidRDefault="00CE0999" w:rsidP="0075760F">
      <w:pPr>
        <w:pStyle w:val="Normal"/>
        <w:ind w:right="1870"/>
        <w:rPr>
          <w:sz w:val="22"/>
          <w:szCs w:val="22"/>
        </w:rPr>
      </w:pPr>
      <w:r>
        <w:rPr>
          <w:sz w:val="20"/>
          <w:szCs w:val="20"/>
        </w:rPr>
        <w:t>Livraison et pose d’une sous-construction en bois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18A2B642" w14:textId="77777777" w:rsidR="00CE0999" w:rsidRDefault="00CE0999" w:rsidP="0075760F">
      <w:pPr>
        <w:widowControl w:val="0"/>
        <w:ind w:right="1870"/>
        <w:rPr>
          <w:rFonts w:ascii="Arial" w:hAnsi="Arial" w:cs="Arial"/>
          <w:lang w:eastAsia="x-none"/>
        </w:rPr>
      </w:pPr>
    </w:p>
    <w:p w14:paraId="3536D3B9" w14:textId="77777777" w:rsidR="00CE0999" w:rsidRDefault="00CE0999" w:rsidP="0075760F">
      <w:pPr>
        <w:widowControl w:val="0"/>
        <w:ind w:right="1870"/>
        <w:rPr>
          <w:rFonts w:ascii="Arial" w:eastAsia="Times New Roman" w:hAnsi="Arial" w:cs="Arial"/>
          <w:sz w:val="20"/>
          <w:szCs w:val="20"/>
        </w:rPr>
      </w:pPr>
      <w:r>
        <w:rPr>
          <w:rFonts w:ascii="Arial" w:hAnsi="Arial"/>
          <w:sz w:val="20"/>
          <w:szCs w:val="20"/>
        </w:rPr>
        <w:t>Deux couches (lattage et contre-lattage) en bois jointé (bois à entures multiples) ; cales de rupture de pont thermique ; matériel d’ancrage et d’assemblage compris.</w:t>
      </w:r>
    </w:p>
    <w:p w14:paraId="249ED98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Système proposé : ……</w:t>
      </w:r>
    </w:p>
    <w:p w14:paraId="7D0C293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10BF8C8" w14:textId="4B0A42A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5695477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7E48F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957AE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02.01.9 Supplément appliqué à la sous-construction pour la sous-face</w:t>
      </w:r>
    </w:p>
    <w:p w14:paraId="748D993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sous-face. Espacement par rapport à la sous-construction : max. 500 mm ; fixation mécanique (vis / rivet).</w:t>
      </w:r>
    </w:p>
    <w:p w14:paraId="773B25D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36C7E61" w14:textId="6A98CE2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328CF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9B12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128C6E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02.01.10 Équerre en acier positionnée au niveau des linteaux de fenêtre</w:t>
      </w:r>
    </w:p>
    <w:p w14:paraId="11B64BB2" w14:textId="3B21222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 xml:space="preserve">Livraison et pose d’équerres en acier installées au niveau des linteaux de fenêtre ; </w:t>
      </w:r>
      <w:r>
        <w:rPr>
          <w:sz w:val="20"/>
          <w:szCs w:val="20"/>
        </w:rPr>
        <w:t>ajustage et matériel de fixation inclus.</w:t>
      </w:r>
    </w:p>
    <w:p w14:paraId="1982AFD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lang w:eastAsia="x-none"/>
        </w:rPr>
      </w:pPr>
    </w:p>
    <w:p w14:paraId="45A0FC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color w:val="000000"/>
          <w:sz w:val="20"/>
          <w:szCs w:val="20"/>
        </w:rPr>
      </w:pPr>
      <w:r>
        <w:rPr>
          <w:color w:val="000000"/>
          <w:sz w:val="20"/>
          <w:szCs w:val="20"/>
        </w:rPr>
        <w:t>Qualité du matériau : acier galvanisé</w:t>
      </w:r>
    </w:p>
    <w:p w14:paraId="4C1351C2" w14:textId="0760FBA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color w:val="000000"/>
          <w:sz w:val="20"/>
          <w:szCs w:val="20"/>
        </w:rPr>
      </w:pPr>
      <w:r>
        <w:rPr>
          <w:color w:val="000000"/>
          <w:sz w:val="20"/>
          <w:szCs w:val="20"/>
        </w:rPr>
        <w:t>Épaisseur du matériau : 0,8 mm</w:t>
      </w:r>
    </w:p>
    <w:p w14:paraId="1C345486" w14:textId="3176CE1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200 mm</w:t>
      </w:r>
    </w:p>
    <w:p w14:paraId="1E9B5260" w14:textId="558BF50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2 pc.</w:t>
      </w:r>
    </w:p>
    <w:p w14:paraId="146277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09D0FC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96AF935" w14:textId="3E1E40D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4726CD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4C650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2F6604B7" w14:textId="065B008F"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rFonts w:eastAsia="Times New Roman"/>
          <w:b/>
          <w:bCs/>
          <w:sz w:val="22"/>
          <w:szCs w:val="22"/>
        </w:rPr>
      </w:pPr>
      <w:r>
        <w:rPr>
          <w:b/>
          <w:bCs/>
          <w:sz w:val="22"/>
          <w:szCs w:val="22"/>
        </w:rPr>
        <w:t>Titre 02.01 Sous-construction pour habillages de façades  PT ____________</w:t>
      </w:r>
    </w:p>
    <w:p w14:paraId="77CFA915" w14:textId="3E5E72F6"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rFonts w:eastAsia="Times New Roman"/>
          <w:b/>
          <w:bCs/>
          <w:sz w:val="22"/>
          <w:szCs w:val="22"/>
        </w:rPr>
      </w:pPr>
      <w:r>
        <w:br w:type="page"/>
      </w:r>
      <w:r>
        <w:rPr>
          <w:b/>
          <w:bCs/>
          <w:sz w:val="22"/>
          <w:szCs w:val="22"/>
        </w:rPr>
        <w:lastRenderedPageBreak/>
        <w:t>  </w:t>
      </w:r>
    </w:p>
    <w:p w14:paraId="74968B34" w14:textId="77777777" w:rsidR="00CE0999" w:rsidRPr="00C8123B"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7714D9C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43E85B2"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2"/>
          <w:szCs w:val="22"/>
        </w:rPr>
      </w:pPr>
      <w:r>
        <w:rPr>
          <w:sz w:val="22"/>
          <w:szCs w:val="22"/>
        </w:rPr>
        <w:t>Titre 02.01 Sous-construction pour habillages de façades</w:t>
      </w:r>
    </w:p>
    <w:p w14:paraId="33A3CAA5" w14:textId="75F35CDD"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3D9BB76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3D0F4F5"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2A053F30" w14:textId="19D8F8E4"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2655EF67"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49CE0986"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2B25" w14:textId="77777777" w:rsidR="008162F7" w:rsidRDefault="008162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8162F7">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8162F7">
      <w:rPr>
        <w:rFonts w:asciiTheme="majorHAnsi" w:hAnsiTheme="majorHAnsi"/>
        <w:noProof/>
        <w:sz w:val="22"/>
        <w:szCs w:val="22"/>
      </w:rPr>
      <w:t>5</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8162F7"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2969" w14:textId="77777777" w:rsidR="008162F7" w:rsidRDefault="008162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711C" w14:textId="77777777" w:rsidR="008162F7" w:rsidRDefault="008162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6286FBB8" w:rsidR="004439A6" w:rsidRDefault="004439A6" w:rsidP="0075760F">
    <w:pPr>
      <w:pStyle w:val="Kopfzeile"/>
      <w:jc w:val="right"/>
    </w:pPr>
    <w:r>
      <w:tab/>
    </w:r>
    <w:r w:rsidR="008162F7">
      <w:rPr>
        <w:noProof/>
        <w:lang w:val="de-DE" w:eastAsia="de-DE"/>
      </w:rPr>
      <w:drawing>
        <wp:inline distT="0" distB="0" distL="0" distR="0" wp14:anchorId="3722ABAD" wp14:editId="543A7AD4">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5772" w14:textId="77777777" w:rsidR="008162F7" w:rsidRDefault="008162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0C3D"/>
    <w:rsid w:val="004B515D"/>
    <w:rsid w:val="004C7A5A"/>
    <w:rsid w:val="004F140A"/>
    <w:rsid w:val="00567288"/>
    <w:rsid w:val="00584964"/>
    <w:rsid w:val="005F706C"/>
    <w:rsid w:val="00600E4D"/>
    <w:rsid w:val="00637C1A"/>
    <w:rsid w:val="006424E6"/>
    <w:rsid w:val="00657380"/>
    <w:rsid w:val="006F4832"/>
    <w:rsid w:val="0075760F"/>
    <w:rsid w:val="00776294"/>
    <w:rsid w:val="007A74E5"/>
    <w:rsid w:val="007E6013"/>
    <w:rsid w:val="007F6841"/>
    <w:rsid w:val="008162F7"/>
    <w:rsid w:val="008818A0"/>
    <w:rsid w:val="00894CC9"/>
    <w:rsid w:val="008C00B4"/>
    <w:rsid w:val="00945E80"/>
    <w:rsid w:val="00985318"/>
    <w:rsid w:val="009A5DC9"/>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5C87B66B-E09D-4882-A935-A72C1DF7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7191</Characters>
  <Application>Microsoft Office Word</Application>
  <DocSecurity>0</DocSecurity>
  <Lines>59</Lines>
  <Paragraphs>16</Paragraphs>
  <ScaleCrop>false</ScaleCrop>
  <Company>XXL Communication</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2017-12-20T11:27:00Z</dcterms:modified>
</cp:coreProperties>
</file>