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A38C" w14:textId="6CADEA1E"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23FFF18D"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2CE270D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60F879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1CD0F7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AD450F"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Titre 01:05 Losange de toiture 44 × 44</w:t>
      </w:r>
    </w:p>
    <w:p w14:paraId="6D3F07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0AA6D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1AEA1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2386E08F"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0861912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20AC01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178F9C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6913B1B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3396AD6D" w14:textId="77777777"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3687FB8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19CA189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91EB79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2A7702E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2B78EA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6E910C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635C09D"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72B3FD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13C2DA3"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CAF919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67143B8" w14:textId="2354641F"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23FB8F9" w14:textId="77777777"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1A7D4BE" w14:textId="77777777"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0E993DE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27E8F90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FA62B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14EB426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5EFE4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74CA3C1" w14:textId="649242E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01.05.1 Couche de séparation (isolation phonique et résistance accrue à la pénétration d’eau)</w:t>
      </w:r>
    </w:p>
    <w:p w14:paraId="52332065"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0E6E9125"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42C2F2BC"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4BE6FC4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68EB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1CF1A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46F05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2799E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48BA25" w14:textId="2C47A86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01.05.2 Couche de séparation (au moins 0,9 mm)</w:t>
      </w:r>
    </w:p>
    <w:p w14:paraId="4519D4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0B08F2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40009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3F6382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A3022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397AC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C0914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91F2E3" w14:textId="13AD29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01.05.3 Couverture de toit — losanges de toiture 44 × 44</w:t>
      </w:r>
    </w:p>
    <w:p w14:paraId="604BE16A" w14:textId="67EB0E74"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d’une couverture de toit en aluminium inoxydable réalisée avec des losanges de toiture 44 × 44 ; comprend le matériel de fixation PREFA (fixation invisible au moyen de clous annelés, 4 par losange) ; pose réalisée sur voligeage intégral (épaisseur minimum : 24 mm). Respecter les directives de pose PREFA.</w:t>
      </w:r>
    </w:p>
    <w:p w14:paraId="5A1389E8"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A9E606C"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68E5F296"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8985F26"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Pente de toit minimum :</w:t>
      </w:r>
    </w:p>
    <w:p w14:paraId="68871BE7"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de 12° (longueur des chevrons inférieure à 7 m)</w:t>
      </w:r>
    </w:p>
    <w:p w14:paraId="22466ABA"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de 14° (longueur des chevrons comprise entre 7 m et 12 m)</w:t>
      </w:r>
    </w:p>
    <w:p w14:paraId="02791413"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de 16° (longueur des chevrons supérieure à 12 m)</w:t>
      </w:r>
    </w:p>
    <w:p w14:paraId="7A03E0B6" w14:textId="73C62AAC"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437 × 437 mm en surface de toiture posée (5,24 par m²)</w:t>
      </w:r>
    </w:p>
    <w:p w14:paraId="01D08EB9" w14:textId="43F21168"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9000947"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2,6 kg/m²</w:t>
      </w:r>
    </w:p>
    <w:p w14:paraId="5170B9DE"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Qualité du matériau : aluminium (entièrement recyclable)</w:t>
      </w:r>
    </w:p>
    <w:p w14:paraId="6C9758A8"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05310B2A"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4585ED8D"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3DF702E7"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4837391A"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0996647A"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6999617A" w14:textId="496792D8"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3C3D7843"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1D3B6E3F" w14:textId="2FDCF183"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0C011A71" w14:textId="5DC323C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216013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D252C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8BEB7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79717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5CCBE2" w14:textId="3DB7C5D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01.05.4 Supplément appliqué au produit principal pour demi-losanges de départ (losanges de toiture 44 × 44)</w:t>
      </w:r>
    </w:p>
    <w:p w14:paraId="7506555F" w14:textId="59B61A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départ pour les losanges de toiture 44 × 44 ; pour la mise en œuvre des avant-toits et de tous les raccordements réalisés au niveau des avant-toits (par ex. cheminées, lucarnes, puits de lumière, etc.) ; 1,48 éléments par mètre ; matériel de fixation PREFA inclus. Respecter les directives de pose PREFA.</w:t>
      </w:r>
    </w:p>
    <w:p w14:paraId="0F0607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4D8E3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B563B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2A4F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28582E" w14:textId="7100953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01.05.5 Supplément appliqué au produit principal pour demi-losanges de fin (losanges de toiture 44 × 44)</w:t>
      </w:r>
    </w:p>
    <w:p w14:paraId="36CBB341" w14:textId="354C99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fin pour les losanges de toiture 44 × 44 ; pour la mise en œuvre des faîtages et de tous les raccordements réalisés au niveau des faîtages (par ex. cheminées, lucarnes, puits de lumière, etc.) ; 1,48 élément par mètre ; matériel de fixation PREFA inclus. Respecter les directives de pose PREFA.</w:t>
      </w:r>
    </w:p>
    <w:p w14:paraId="3FA896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1A5C76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FDF2B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920E9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4601A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01.05.6 Bande de départ</w:t>
      </w:r>
    </w:p>
    <w:p w14:paraId="15BA655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bandes de départ PREFA (avec repère) ; comprend le matériel de fixation et l’ajustage à la couverture PREFA. Respecter les directives de pose PREFA.</w:t>
      </w:r>
    </w:p>
    <w:p w14:paraId="2ACFB11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CC9DFC6" w14:textId="55A25FE6"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679AAB02" w14:textId="7876D152"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339F642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04D168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A5FC1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AC5B2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50AFA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6E7A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01.05.7 Solin de finition (standard)</w:t>
      </w:r>
    </w:p>
    <w:p w14:paraId="784DE292" w14:textId="7FAC780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5EF9F9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6EBEE10" w14:textId="4E28A70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1418A698" w14:textId="3A9DDC7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0BBD35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10A753F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7E4D471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75ADB3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3DA3C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52565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FC68B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D7876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71A29A" w14:textId="6B41A22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01.05.8 Solin de finition réalisé à partir de bandes complémentaires Prefalz</w:t>
      </w:r>
    </w:p>
    <w:p w14:paraId="1B77CC4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5DE4B3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D7A022" w14:textId="3FD37F6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026F6B1" w14:textId="7D262AF8"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1D2C2F0"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D8D347A"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7D22E42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E9736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0A5613"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99502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937B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900B3E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01.05.9 Grille anti-insectes pour entrée et sortie d’air</w:t>
      </w:r>
    </w:p>
    <w:p w14:paraId="4B033FC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56B25D0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3A6D38C" w14:textId="31F25658"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020E4FB8"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7A14FF9C" w14:textId="62E02B0F"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129F059A" w14:textId="01102A0F"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9A6AE26"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0A73D368" w14:textId="40435088"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1881E9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F970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5E2BE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DC62B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8D579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65E5F7" w14:textId="3B3E95C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01.05.10 Ligne de bris (combles mansardés)</w:t>
      </w:r>
    </w:p>
    <w:p w14:paraId="2B3411B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0798834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0F126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3E6EBC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54476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143AF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B8673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5C156C" w14:textId="1731BA9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01.05.11 Ligne de bris</w:t>
      </w:r>
    </w:p>
    <w:p w14:paraId="3CAEC0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avec bande de recouvrement réalisée à partir de bandes complémentaires Prefalz ; comprend le matériel de fixation ainsi que l’ajustage à la couverture PREFA.</w:t>
      </w:r>
    </w:p>
    <w:p w14:paraId="1726656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70C71A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7371536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99B60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CE88D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8542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5A7D9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01.05.12 Noue de sécurité (réalisée en usine)</w:t>
      </w:r>
    </w:p>
    <w:p w14:paraId="41911F43" w14:textId="70568FA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77692E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2A94B6" w14:textId="6FB3CFC6"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1197CF47" w14:textId="335B7ECF"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07F7A36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2433F6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E49F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5C4CA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A7C8A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4C930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580CB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ED194E" w14:textId="4F71F4A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01.05.13 Mise en œuvre d’une noue réalisée à partir de bandes complémentaires Prefalz</w:t>
      </w:r>
    </w:p>
    <w:p w14:paraId="1BF0A82B" w14:textId="24D114A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7A7043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DA6316" w14:textId="4F0456C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81817E3" w14:textId="5A2B8DE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F59319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BD0245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B0E866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74605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49921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7732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DE51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E40E77" w14:textId="3F8F8C1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01.05.14 Mise en œuvre d’une noue encaissée réalisée à partir de bandes complémentaires Prefalz</w:t>
      </w:r>
    </w:p>
    <w:p w14:paraId="7F0BAF1D" w14:textId="07BC7B1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7E49DB1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67601D" w14:textId="3D0A7FB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2DF397E" w14:textId="1774B0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48AD3B1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8C1A50C"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7E5A2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F8CDE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34B8E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3A6F5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1C59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A11EBE" w14:textId="1186865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01.05.15 Mise en œuvre d’une noue (noues arrondies)</w:t>
      </w:r>
    </w:p>
    <w:p w14:paraId="51254A2C" w14:textId="23F4323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 matériel de fixation ainsi que l’ajustage de tous les raccordements à la couverture PREFA (sur les deux côtés).</w:t>
      </w:r>
    </w:p>
    <w:p w14:paraId="1E9B4A1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75E823" w14:textId="36AA03D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34575EC2" w14:textId="3B9AA23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16DAFC5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6A1044F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0D33898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D2F13C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2165A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A2D269"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76EB4E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1EC29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1B9E99" w14:textId="60F1417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01.05.16 Raccordement de couloir réalisé à partir de bandes complémentaires Prefalz</w:t>
      </w:r>
    </w:p>
    <w:p w14:paraId="6EA056EE" w14:textId="0CACC9C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(pour raccordement de couloir latéral) ; avec matériel de fixation et ajustage de tous les raccordements à la couverture PREFA. Les éléments (max. 3 000 mm) doivent être assemblés de manière à permettre une dilatation suffisante.</w:t>
      </w:r>
    </w:p>
    <w:p w14:paraId="1833D2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18FA0C" w14:textId="712595E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43D58CE" w14:textId="614203CA"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084A46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BA343B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16A27A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07F75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D70E5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94EFE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7D79E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BA6EC8" w14:textId="155124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01.05.17 Couloir réalisé à partir de bandes complémentaires Prefalz</w:t>
      </w:r>
    </w:p>
    <w:p w14:paraId="7938BC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10B015F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4834CB" w14:textId="22EEC25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431E3E3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A44AD99"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7C4B19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DD63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B36F6A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6A07C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C762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15A291" w14:textId="3FBFE2A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01.05.18 Bavette réalisée à partir de bandes complémentaires Prefalz</w:t>
      </w:r>
    </w:p>
    <w:p w14:paraId="620A5629" w14:textId="2103D7F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419859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B4580D" w14:textId="79A3A159"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DA2B247" w14:textId="3A980A0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659E398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21244C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1E4E0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48C46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466A08D"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02A3B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3F6E3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748A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01.05.19 Faîtière ventilée (autoportante)</w:t>
      </w:r>
    </w:p>
    <w:p w14:paraId="75008B1D" w14:textId="4C5C8E9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30E5CC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ADA7344" w14:textId="3BEAEFDC" w:rsidR="004B50AA" w:rsidRPr="0028366D"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2984EFB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6BEDFF32" w14:textId="3BFB699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246423B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0BA00F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C3B8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77DC8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E5313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17A9D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DC750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01.05.20 About de faîtière ventilée</w:t>
      </w:r>
    </w:p>
    <w:p w14:paraId="06825D3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523DFD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40D1B1" w14:textId="29BA334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64B934F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030B9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4A17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D72ABD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33608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00648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91E5E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01.05.21 Mise en œuvre de faîtières et arêtiers (non ventilés)</w:t>
      </w:r>
    </w:p>
    <w:p w14:paraId="6D2A6F58" w14:textId="2400C84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0FFE77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2C35A1" w14:textId="545F9A4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2B122DC4" w14:textId="156B2CF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73728E98"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CD5479F"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D294F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4DD44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79943D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DCCF7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3587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AF1B5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01.05.22 About de faîtière et d’arêtier (quart de sphère)</w:t>
      </w:r>
    </w:p>
    <w:p w14:paraId="7BB829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63163D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4EBE69" w14:textId="00BEC83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52EBBE8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8F9089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4CBC1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7C494F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B94E0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76E92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1DC0B10" w14:textId="0DA262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01.05.23 Mise en œuvre de faîtières et arêtiers réalisés à partir de bandes complémentaires Prefalz</w:t>
      </w:r>
    </w:p>
    <w:p w14:paraId="61A122A0" w14:textId="09804B5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7DBA4E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6A55E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D6DC11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695E1FA" w14:textId="141775D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F0B245D" w14:textId="6DF8CF2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797ED6E1" w14:textId="1DFAFE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120660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AE755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PU _____________  PT _____________</w:t>
      </w:r>
    </w:p>
    <w:p w14:paraId="54D85D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86E7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5D1C8D" w14:textId="71DC23D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01.05.24 Raccord de faîtage de toit monopente réalisé à partir de bandes complémentaires Prefalz</w:t>
      </w:r>
    </w:p>
    <w:p w14:paraId="7C1D1EF7" w14:textId="172AA09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0439F07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CA5C6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174768C2" w14:textId="41203CB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98A9AB1" w14:textId="57418286"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55D455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63976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591E3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DE63A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6A0FDF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3CBF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84F35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01.05.25 Bande de rive (réalisée en usine)</w:t>
      </w:r>
    </w:p>
    <w:p w14:paraId="0978848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6F804D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2F3AF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36F5B3A1" w14:textId="1F7D7EF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0AF8ED2D" w14:textId="382778BB"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0AAF87FB" w14:textId="79BAC8C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0B00573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71F9BB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02A4E205" w14:textId="2BBB067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0A7F91F1" w14:textId="48BEE62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5B0E7FE7" w14:textId="483A117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564D97F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CC1EEB"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6CB1A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B348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E3DB6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065ED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660E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44E171" w14:textId="5BA132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01.05.26 Bande de rive réalisée à partir de bandes complémentaires Prefalz</w:t>
      </w:r>
    </w:p>
    <w:p w14:paraId="54895E1A" w14:textId="0BA08D4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34EBF2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B65CF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21189D63" w14:textId="7C38D4B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85AA0E7" w14:textId="3590FB1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57DB91C3" w14:textId="0E65DD2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1D73C9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05D6F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4113B22B" w14:textId="72998EE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BA6F490" w14:textId="3DDB403E"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F010317" w14:textId="2E872FB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24E06DD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0E27479"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A9B159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A98B8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E5DEE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0A59F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D1EE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A6A9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01.05.27 Chapeau de raccordement pour chatière</w:t>
      </w:r>
    </w:p>
    <w:p w14:paraId="00C4CE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raccordement pour chatière pour permettre la ventilation de la lame d’air (entrée et sortie d’air) ; avec perforation et partie supérieure fabriquée par emboutissage ; installation par assemblage riveté ou collé, avec découpe des ouvertures requises dans la couverture et dans le voligeage.</w:t>
      </w:r>
    </w:p>
    <w:p w14:paraId="1925DF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FFCF3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env. 30 cm²</w:t>
      </w:r>
    </w:p>
    <w:p w14:paraId="5CBD6621" w14:textId="2EA68346"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1,20 mm</w:t>
      </w:r>
    </w:p>
    <w:p w14:paraId="6903ECC8"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69FAAF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66EBE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195600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A9249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0C6D9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D5751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01.05.28 Raccordement de ventilation pour losanges de toiture 44 × 44</w:t>
      </w:r>
    </w:p>
    <w:p w14:paraId="33FA3D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220B27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F6F5AD" w14:textId="31FEAC2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3D3BACB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355DAB2B"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657C5D6C"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F18D9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74B48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2AFCB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22D30B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B21C6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F9031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01.05.29 Raccordement universel</w:t>
      </w:r>
    </w:p>
    <w:p w14:paraId="34F8A1D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41655AB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85625B9" w14:textId="32B2D3C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4BF2251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2385B900"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5C17001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6AD9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31D72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BB3C5D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ABA31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0B19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E30C8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01.05.30 Tuyau de ventilation</w:t>
      </w:r>
    </w:p>
    <w:p w14:paraId="79657FF8"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45EB4B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CA90BC" w14:textId="0F717ABA"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 300 mm</w:t>
      </w:r>
    </w:p>
    <w:p w14:paraId="6C1F7D9F" w14:textId="2353498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0F232A63" w14:textId="6478B3D5"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531DC18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79710C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96C1C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7C220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C32D0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6BC8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09A1E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01.05.31 Soufflet plissé</w:t>
      </w:r>
    </w:p>
    <w:p w14:paraId="7A9492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30D1912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BB542B" w14:textId="2CA784D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1798FA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C509D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C177D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4330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A72822" w14:textId="47DDD20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01.05.32 Abergement de cheminée et de conduit de ventilation</w:t>
      </w:r>
    </w:p>
    <w:p w14:paraId="6FBB978F" w14:textId="4C3FED6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0AB248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49ECFA2" w14:textId="63ABCD4E"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0B9075C9" w14:textId="23A81C2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0036448"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D2AE3D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17386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7EC428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C005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8E109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20823F" w14:textId="6E635A4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01.05.33 Abergement de cheminée et de conduit de ventilation</w:t>
      </w:r>
    </w:p>
    <w:p w14:paraId="65318699" w14:textId="3C79C48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80582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596C2E" w14:textId="6507FCCF"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F97F84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41D88C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C14F5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28E24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A7D59E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EE5E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49F3F0A" w14:textId="1A9B0C6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01.05.34 Habillage de cheminée et de conduit de ventilation</w:t>
      </w:r>
    </w:p>
    <w:p w14:paraId="6C42049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3BB660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91CA71" w14:textId="39B10D1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1A103AB4" w14:textId="75E5D7BB"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BA8C33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455D4D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BD24CD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DA91B3"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5143F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CED91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6B94E2" w14:textId="1D8E683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01.05.35 Habillage de cheminée et de conduit de ventilation</w:t>
      </w:r>
    </w:p>
    <w:p w14:paraId="103B852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56702E5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ADAAA6" w14:textId="3B613E3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978784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DA9EFD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B62D4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98345C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C18CC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7278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772FD4" w14:textId="03CE81D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01.05.36 Chapeau de cheminée</w:t>
      </w:r>
    </w:p>
    <w:p w14:paraId="2F72A7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5C8E62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D5A6205" w14:textId="2B379B1A"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6F6F40B1" w14:textId="0C8804BD"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A11AF3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37B1CC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50B01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3875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EFA14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60A2E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A7CA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1C31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01.05.37 Chapeau de cheminée</w:t>
      </w:r>
    </w:p>
    <w:p w14:paraId="5BB348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07EE71D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19107D6" w14:textId="4FF5275B"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13E67D5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0C62B8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423FE30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7F526C3" w14:textId="439370A9"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02DCC88E" w14:textId="4D09F8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6B06AE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A623AB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572C4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F152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EF7285" w14:textId="5B069C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01.05.38 Bande de solin fixée par joint mastic (solin)</w:t>
      </w:r>
    </w:p>
    <w:p w14:paraId="00DB62EE" w14:textId="12C3F3BF"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7B6EEA9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2ADAE1" w14:textId="7904457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C1BD350" w14:textId="6ADD55B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42867B47" w14:textId="1710186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C343D1E"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B19781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B2032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D2B97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5B0223"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PU _____________  PT _____________</w:t>
      </w:r>
    </w:p>
    <w:p w14:paraId="1A6DBE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3105E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BCD9AC" w14:textId="61DFDC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01.05.39 Bande de solin brevetée</w:t>
      </w:r>
    </w:p>
    <w:p w14:paraId="65F7521B"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5C15BF9B"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4964896E" w14:textId="6C06A94E"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30F91EEC" w14:textId="2ED23916"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60241508" w14:textId="6B903679"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347B0D1" w14:textId="77777777"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05724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A29F0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F6B0A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3E37E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82C9F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8BF63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01.05.40 Tabatière</w:t>
      </w:r>
    </w:p>
    <w:p w14:paraId="197210EC" w14:textId="480B734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47FFFF4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2F0526E" w14:textId="5E659B5F"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18971C6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82A72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8940C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F85E9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5AE47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FB2F0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01.05.41 Raccordement pour fenêtres de toit Velux</w:t>
      </w:r>
    </w:p>
    <w:p w14:paraId="1B46EC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0AE7868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21C15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7D02F29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5211F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2B54A6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FF50C0B"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06DBD0A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39E125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6F84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A2F089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96888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46B1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03892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01.05.42 Raccordement pour fenêtres de toit Roto</w:t>
      </w:r>
    </w:p>
    <w:p w14:paraId="43B09A6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6920D6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BC3B95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0EA9C9B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2AB87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9672D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64180B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49F3F0F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2E6F9F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55290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D146E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E2E69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B57C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01.05.43 Raccordement pour fenêtres de toit Roto Q</w:t>
      </w:r>
    </w:p>
    <w:p w14:paraId="677D1E3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45FCF9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F2DAD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43C2A56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D5124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4CEBB3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57372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71EAA85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524899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62ED3E7"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D841B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0FF07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E89A88E" w14:textId="3D986F0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01.05.44 Habillage de façade</w:t>
      </w:r>
    </w:p>
    <w:p w14:paraId="22140B75" w14:textId="613140C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losanges de toiture PREFA ou les bandes complémentaires Prefalz (joints angulaires).</w:t>
      </w:r>
    </w:p>
    <w:p w14:paraId="76083F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Détails techniques : ……</w:t>
      </w:r>
    </w:p>
    <w:p w14:paraId="358C18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88E1B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04757F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C063A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5F4B64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02DC7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0D0FD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A668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70DC3E6" w14:textId="2B0CFF1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01.05.45 Couronnement d’acrotère réalisé à partir de bandes complémentaires Prefalz</w:t>
      </w:r>
    </w:p>
    <w:p w14:paraId="66213E32" w14:textId="13B735E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245BF6E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71AF319" w14:textId="1AB8204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5FECEC5C" w14:textId="53A90F2E"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1F345D04" w14:textId="35E60A22"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6E122E4"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60466C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1E709D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770CC7A"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7D61429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174414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9E407B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C07D6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B299D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C458A5" w14:textId="10ED73F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01.05.46 Supplément pour acrotère arrondi (segments)</w:t>
      </w:r>
    </w:p>
    <w:p w14:paraId="48898A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5F9C0B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642A7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DBCD3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111DD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B1A2DB" w14:textId="697889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01.05.47 Couvertine de bordure de toit angulaire réalisée à partir de bandes complémentaires Prefalz</w:t>
      </w:r>
    </w:p>
    <w:p w14:paraId="48C193C9" w14:textId="2900C8D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454F52E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F2C02F8" w14:textId="41074B5C"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67AAD8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B5FC7D1" w14:textId="4D347FD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4818A79"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8AA0CD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EBC4A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7012C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E8C62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B5950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2209D3" w14:textId="79E9834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01.05.48 Bavette de corniches et bandeaux de façade réalisée à partir de bandes complémentaires Prefalz</w:t>
      </w:r>
    </w:p>
    <w:p w14:paraId="5BDFC1E9" w14:textId="60F31CD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321EF4D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A2C25A" w14:textId="3EBEC425"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4706DB06"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6D0D5755" w14:textId="7F3813BE"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3DC562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6E132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86455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20A0A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ABF1B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8CF84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1C714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01.05.49 Arrêts de neige pour losanges de toiture 44 × 44</w:t>
      </w:r>
    </w:p>
    <w:p w14:paraId="5D31F227" w14:textId="10DE9990"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d’arrêts de neige pour losanges de toiture 44 × 44. La pose s’effectue en partant de l’égout pour terminer par le faîtage ; sur les deux premières rangées de l’avant-toit, on installera 1 arrêt de neige par losange de toiture. Le nombre des arrêts de neige à installer est défini sur la base des calculs statiques effectués. Respecter les directives de pose PREFA.</w:t>
      </w:r>
    </w:p>
    <w:p w14:paraId="6023A1B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1FF409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85CF42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10EA7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2B6A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9CB7C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D41F0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A7EDB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57CA5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01.05.50 Système pare-neige</w:t>
      </w:r>
    </w:p>
    <w:p w14:paraId="10F965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4AC29A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9F89C1" w14:textId="150195D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51747991" w14:textId="3F5869A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Trous de passage : barre avec manchon de raccordement ; 3 pc. ; longueur : 3 000 mm Les éléments terminaux PREFA sont à monter aux deux extrémités du système pare-neige.</w:t>
      </w:r>
    </w:p>
    <w:p w14:paraId="7C68A25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527D3D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73F5E36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B219E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BD907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A5D067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CD00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9E09B1" w14:textId="38FCC3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01.05.51 Supplément pour arrêts-glace (système pare-neige)</w:t>
      </w:r>
    </w:p>
    <w:p w14:paraId="25E67FAD" w14:textId="6DAE2EF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16BCE86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82CF8CE"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051EFE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26DF8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E69A1D"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CB31B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342E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F4A5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01.05.52 Système pare-neige</w:t>
      </w:r>
    </w:p>
    <w:p w14:paraId="4E7BF5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le mastic d’étanchéité ainsi que la pose d’une plaque de support (si nécessaire). La disposition du système pare-neige est définie sur la base des calculs statiques effectués. Respecter les directives de pose PREFA.</w:t>
      </w:r>
    </w:p>
    <w:p w14:paraId="049889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EA9133" w14:textId="03E4E48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43D13FAC" w14:textId="0C0F5F0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4D8483EC" w14:textId="61EEE85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6FC5D7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13F43F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2825EC"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4B43854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85CFDF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889CC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DF3CF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D5D94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1CB41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01.05.53 Support de pare-neige pour rondins</w:t>
      </w:r>
    </w:p>
    <w:p w14:paraId="4A35C600" w14:textId="3D399F4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 xml:space="preserve">Livraison et pose de supports de pare-neige pour rondins ; comprend deux platines avec joints d’étanchéité (diamètre extérieur : 87 mm), le matériel de fixation et le cache de protection. </w:t>
      </w:r>
      <w:r>
        <w:rPr>
          <w:sz w:val="20"/>
          <w:szCs w:val="20"/>
        </w:rPr>
        <w:t>Rondin inclus (diamètre de 140 mm) ; pose d’une plaque de support si nécessaire.</w:t>
      </w:r>
      <w:r>
        <w:rPr>
          <w:rFonts w:ascii="Arial" w:hAnsi="Arial"/>
          <w:sz w:val="20"/>
          <w:szCs w:val="20"/>
        </w:rPr>
        <w:t xml:space="preserve"> Respecter les directives de pose PREFA.</w:t>
      </w:r>
    </w:p>
    <w:p w14:paraId="0BF9BA3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6692C5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0BD5E7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82215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AED91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4CA4A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88A0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73FB0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01.05.54 Crochet de sécurité (conforme à la norme EN 517 B, monté sur platines)</w:t>
      </w:r>
    </w:p>
    <w:p w14:paraId="67727B95" w14:textId="2F631B6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2DFBF1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57AE3AF"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467D8B1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4DB50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inoxydable</w:t>
      </w:r>
    </w:p>
    <w:p w14:paraId="1526351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75D091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6A878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ADF4B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586DF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80526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01.05.55 Crochet de sécurité (conforme à la norme EN 517 B)</w:t>
      </w:r>
    </w:p>
    <w:p w14:paraId="7FE655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ainsi que pose d’une plaque de support (si nécessaire). Respecter les directives de pose PREFA.</w:t>
      </w:r>
    </w:p>
    <w:p w14:paraId="42620A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41CF71"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65C00E6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F52B8F"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3F94D1E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B44A9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197BF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0B624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B547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8B0B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01.05.56 Support solaire</w:t>
      </w:r>
    </w:p>
    <w:p w14:paraId="1836525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ainsi que pose d’une plaque de support (si nécessaire). Le nombre des supports solaires et la distance qui les sépare sont définis sur la base des calculs statiques effectués. Respecter les directives de pose PREFA.</w:t>
      </w:r>
    </w:p>
    <w:p w14:paraId="7701C8A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7B3125" w14:textId="4D658C63"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03190BC5" w14:textId="412B90EE"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5 mm</w:t>
      </w:r>
    </w:p>
    <w:p w14:paraId="72E5484C"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6113939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471285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A3601D"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2AB08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65D0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EE99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01.05.57 Support de panneau solaire Sunny</w:t>
      </w:r>
    </w:p>
    <w:p w14:paraId="3E74FB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28F084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26EC9B" w14:textId="74CE746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264FBE9E" w14:textId="4762CAB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5C5071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283E4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3EAAC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F7AB6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7668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01.05.58 Chemins de circulation</w:t>
      </w:r>
    </w:p>
    <w:p w14:paraId="2D8397D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le mastic d’étanchéité ainsi que la pose d’une plaque de support (si nécessaire). Respecter les directives de pose PREFA.</w:t>
      </w:r>
    </w:p>
    <w:p w14:paraId="2C63EA8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028AFA2" w14:textId="59781F08"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03E69FFD" w14:textId="2BB04D0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419460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4598699"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298DA0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95BF7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286F59"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24465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02335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78E14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01.05.59 Supports de chemin de circulation (marchepieds)</w:t>
      </w:r>
    </w:p>
    <w:p w14:paraId="68675C0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 de circulation PREFA ; comprend le cache de protection, le matériel de fixation, le mastic d’étanchéité et, si nécessaire, la pose d’une plaque de support. Respecter les directives de pose PREFA.</w:t>
      </w:r>
    </w:p>
    <w:p w14:paraId="604330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B88B2E" w14:textId="0E36E10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1EC01517" w14:textId="6375457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49F5E1BB"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78E19C9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24269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E3FE8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DA95B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175E9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9572C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01.05.60 Marche de toit</w:t>
      </w:r>
    </w:p>
    <w:p w14:paraId="4C61B3B5" w14:textId="1284C974"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Pose d’une plaque de support si nécessaire. Respecter les directives de pose PREFA.</w:t>
      </w:r>
    </w:p>
    <w:p w14:paraId="5B37F80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D33E7A3"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1B4A14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40847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AA0AB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26A56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81057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4BC20A4" w14:textId="39D63E1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01.05.61 Facturation en régie — Nombre d’heures d’ouvriers qualifiés</w:t>
      </w:r>
    </w:p>
    <w:p w14:paraId="503D0F1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5177D0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8E2E7A" w14:textId="45A85154"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599FB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44D2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4574D1" w14:textId="2768F6E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01.05.62 Facturation en régie — Nombre d’heures de manœuvres</w:t>
      </w:r>
    </w:p>
    <w:p w14:paraId="499F7E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06CE32F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84FAF4" w14:textId="611EC1E0"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B9C2D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84667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5F5C4A88"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Titre 01:05 Losange de toiture 44 × 44 PT ____________</w:t>
      </w:r>
    </w:p>
    <w:p w14:paraId="72A4390A"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212D3B95"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5F537BD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C320EE"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Titre 01:05 Losange de toiture 44 × 44</w:t>
      </w:r>
    </w:p>
    <w:p w14:paraId="78D30FEB" w14:textId="77777777" w:rsidR="004B50AA" w:rsidRPr="0028366D"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541692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10B643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2D10A1B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7217EBF9"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1AC4B1A6" w14:textId="77777777" w:rsidR="004B50AA" w:rsidRPr="003C6144" w:rsidRDefault="004B50AA" w:rsidP="00C67253">
      <w:pPr>
        <w:rPr>
          <w:sz w:val="20"/>
          <w:lang w:val="x-none"/>
        </w:rPr>
      </w:pPr>
    </w:p>
    <w:p w14:paraId="06DFE4AE"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A44A78E"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7066D8">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7066D8">
      <w:rPr>
        <w:noProof/>
        <w:sz w:val="20"/>
      </w:rPr>
      <w:t>15</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7066D8"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7066D8">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66D8"/>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8719E"/>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96C5E9E-2D9D-4EBD-AC31-931960E2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5119</Words>
  <Characters>32253</Characters>
  <Application>Microsoft Office Word</Application>
  <DocSecurity>0</DocSecurity>
  <Lines>268</Lines>
  <Paragraphs>74</Paragraphs>
  <ScaleCrop>false</ScaleCrop>
  <Company>XXL Communication</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2018-07-23T11:50:00Z</dcterms:modified>
</cp:coreProperties>
</file>